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EB625A" w:rsidRPr="00610EA5" w:rsidRDefault="00495414">
      <w:pPr>
        <w:rPr>
          <w:rFonts w:ascii="Arial" w:hAnsi="Arial" w:cs="Arial"/>
          <w:b/>
          <w:sz w:val="22"/>
          <w:szCs w:val="22"/>
          <w:lang w:val="es-ES"/>
        </w:rPr>
      </w:pPr>
    </w:p>
    <w:p w:rsidR="00EB625A" w:rsidRPr="00610EA5" w:rsidRDefault="00495414" w:rsidP="00C075B2">
      <w:pPr>
        <w:rPr>
          <w:rFonts w:ascii="Arial" w:hAnsi="Arial" w:cs="Arial"/>
          <w:color w:val="808080"/>
          <w:sz w:val="22"/>
          <w:szCs w:val="22"/>
          <w:lang w:val="es-ES"/>
        </w:rPr>
        <w:sectPr w:rsidR="00EB625A" w:rsidRPr="00610EA5" w:rsidSect="00C075B2">
          <w:headerReference w:type="default" r:id="rId7"/>
          <w:footerReference w:type="default" r:id="rId8"/>
          <w:pgSz w:w="12240" w:h="15840" w:code="1"/>
          <w:pgMar w:top="2268" w:right="1467" w:bottom="2268" w:left="1418" w:header="0" w:footer="0" w:gutter="0"/>
          <w:cols w:space="708"/>
          <w:docGrid w:linePitch="360"/>
        </w:sectPr>
      </w:pPr>
    </w:p>
    <w:p w:rsidR="00EB625A" w:rsidRPr="001E27F4" w:rsidRDefault="00495414" w:rsidP="00D63979">
      <w:pPr>
        <w:rPr>
          <w:rFonts w:ascii="Arial" w:hAnsi="Arial" w:cs="Arial"/>
          <w:sz w:val="22"/>
          <w:szCs w:val="22"/>
          <w:lang w:val="es-ES"/>
        </w:rPr>
      </w:pPr>
      <w:r w:rsidRPr="001E27F4">
        <w:rPr>
          <w:rFonts w:ascii="Arial" w:hAnsi="Arial" w:cs="Arial"/>
          <w:sz w:val="22"/>
          <w:szCs w:val="22"/>
        </w:rPr>
        <w:t>Bogotá DC</w:t>
      </w:r>
    </w:p>
    <w:p w:rsidR="00EB625A" w:rsidRDefault="00495414" w:rsidP="00D63979">
      <w:pPr>
        <w:rPr>
          <w:rFonts w:ascii="Arial" w:hAnsi="Arial" w:cs="Arial"/>
        </w:rPr>
      </w:pPr>
    </w:p>
    <w:p w:rsidR="001E27F4" w:rsidRPr="00610EA5" w:rsidRDefault="001E27F4" w:rsidP="00D63979">
      <w:pPr>
        <w:rPr>
          <w:rFonts w:ascii="Arial" w:hAnsi="Arial" w:cs="Arial"/>
        </w:rPr>
      </w:pPr>
    </w:p>
    <w:p w:rsidR="001E27F4" w:rsidRPr="001E27F4" w:rsidRDefault="001E27F4" w:rsidP="001E27F4">
      <w:pPr>
        <w:jc w:val="both"/>
        <w:rPr>
          <w:rFonts w:ascii="Arial" w:eastAsia="Arial" w:hAnsi="Arial" w:cs="Arial"/>
          <w:sz w:val="22"/>
          <w:szCs w:val="22"/>
          <w:lang w:val="es-CO" w:eastAsia="es-CO"/>
        </w:rPr>
      </w:pPr>
      <w:r w:rsidRPr="001E27F4">
        <w:rPr>
          <w:rFonts w:ascii="Arial" w:eastAsia="Arial" w:hAnsi="Arial" w:cs="Arial"/>
          <w:color w:val="000000"/>
          <w:sz w:val="22"/>
          <w:szCs w:val="22"/>
          <w:lang w:val="es-CO" w:eastAsia="es-CO"/>
        </w:rPr>
        <w:t>Señor</w:t>
      </w:r>
    </w:p>
    <w:p w:rsidR="001E27F4" w:rsidRPr="001E27F4" w:rsidRDefault="001E27F4" w:rsidP="001E27F4">
      <w:pPr>
        <w:jc w:val="both"/>
        <w:rPr>
          <w:rFonts w:ascii="Arial" w:eastAsia="Arial" w:hAnsi="Arial" w:cs="Arial"/>
          <w:b/>
          <w:sz w:val="22"/>
          <w:szCs w:val="22"/>
          <w:lang w:val="es-CO" w:eastAsia="es-CO"/>
        </w:rPr>
      </w:pPr>
      <w:r w:rsidRPr="001E27F4">
        <w:rPr>
          <w:rFonts w:ascii="Arial" w:eastAsia="Arial" w:hAnsi="Arial" w:cs="Arial"/>
          <w:b/>
          <w:sz w:val="22"/>
          <w:szCs w:val="22"/>
          <w:lang w:val="es-CO" w:eastAsia="es-CO"/>
        </w:rPr>
        <w:t>EDUARDO JOSÉ DEL VALLE MORA</w:t>
      </w:r>
    </w:p>
    <w:p w:rsidR="001E27F4" w:rsidRPr="001E27F4" w:rsidRDefault="001E27F4" w:rsidP="001E27F4">
      <w:pPr>
        <w:jc w:val="both"/>
        <w:rPr>
          <w:rFonts w:ascii="Arial" w:eastAsia="Arial" w:hAnsi="Arial" w:cs="Arial"/>
          <w:sz w:val="22"/>
          <w:szCs w:val="22"/>
          <w:lang w:val="es-CO" w:eastAsia="es-CO"/>
        </w:rPr>
      </w:pPr>
      <w:r w:rsidRPr="001E27F4">
        <w:rPr>
          <w:rFonts w:ascii="Arial" w:eastAsia="Arial" w:hAnsi="Arial" w:cs="Arial"/>
          <w:sz w:val="22"/>
          <w:szCs w:val="22"/>
          <w:lang w:val="es-CO" w:eastAsia="es-CO"/>
        </w:rPr>
        <w:t xml:space="preserve">Correo Electrónico: </w:t>
      </w:r>
      <w:hyperlink r:id="rId9">
        <w:r w:rsidRPr="001E27F4">
          <w:rPr>
            <w:rFonts w:ascii="Arial" w:eastAsia="Arial" w:hAnsi="Arial" w:cs="Arial"/>
            <w:color w:val="0000FF"/>
            <w:sz w:val="22"/>
            <w:szCs w:val="22"/>
            <w:u w:val="single"/>
            <w:lang w:val="es-CO" w:eastAsia="es-CO"/>
          </w:rPr>
          <w:t>eduardo@almaster.com.co</w:t>
        </w:r>
      </w:hyperlink>
      <w:r w:rsidRPr="001E27F4">
        <w:rPr>
          <w:rFonts w:ascii="Arial" w:eastAsia="Arial" w:hAnsi="Arial" w:cs="Arial"/>
          <w:sz w:val="22"/>
          <w:szCs w:val="22"/>
          <w:lang w:val="es-CO" w:eastAsia="es-CO"/>
        </w:rPr>
        <w:t xml:space="preserve"> </w:t>
      </w:r>
    </w:p>
    <w:p w:rsidR="001E27F4" w:rsidRPr="001E27F4" w:rsidRDefault="001E27F4" w:rsidP="001E27F4">
      <w:pPr>
        <w:jc w:val="both"/>
        <w:rPr>
          <w:rFonts w:ascii="Arial" w:eastAsia="Arial" w:hAnsi="Arial" w:cs="Arial"/>
          <w:sz w:val="22"/>
          <w:szCs w:val="22"/>
          <w:lang w:val="es-CO" w:eastAsia="es-CO"/>
        </w:rPr>
      </w:pPr>
      <w:r w:rsidRPr="001E27F4">
        <w:rPr>
          <w:rFonts w:ascii="Arial" w:eastAsia="Arial" w:hAnsi="Arial" w:cs="Arial"/>
          <w:color w:val="000000"/>
          <w:sz w:val="22"/>
          <w:szCs w:val="22"/>
          <w:lang w:val="es-CO" w:eastAsia="es-CO"/>
        </w:rPr>
        <w:t>Ciudad.</w:t>
      </w:r>
    </w:p>
    <w:p w:rsidR="001E27F4" w:rsidRDefault="001E27F4" w:rsidP="001E27F4">
      <w:pPr>
        <w:jc w:val="both"/>
        <w:rPr>
          <w:rFonts w:ascii="Arial" w:eastAsia="Arial" w:hAnsi="Arial" w:cs="Arial"/>
          <w:sz w:val="22"/>
          <w:szCs w:val="22"/>
          <w:lang w:val="es-CO" w:eastAsia="es-CO"/>
        </w:rPr>
      </w:pPr>
    </w:p>
    <w:p w:rsidR="001E27F4" w:rsidRPr="001E27F4" w:rsidRDefault="001E27F4" w:rsidP="001E27F4">
      <w:pPr>
        <w:jc w:val="both"/>
        <w:rPr>
          <w:rFonts w:ascii="Arial" w:eastAsia="Arial" w:hAnsi="Arial" w:cs="Arial"/>
          <w:sz w:val="22"/>
          <w:szCs w:val="22"/>
          <w:lang w:val="es-CO" w:eastAsia="es-CO"/>
        </w:rPr>
      </w:pPr>
    </w:p>
    <w:p w:rsidR="001E27F4" w:rsidRPr="001E27F4" w:rsidRDefault="001E27F4" w:rsidP="001E27F4">
      <w:pPr>
        <w:shd w:val="clear" w:color="auto" w:fill="FFFFFF"/>
        <w:ind w:left="1416" w:hanging="1416"/>
        <w:jc w:val="both"/>
        <w:rPr>
          <w:rFonts w:ascii="Arial" w:eastAsia="Arial" w:hAnsi="Arial" w:cs="Arial"/>
          <w:sz w:val="22"/>
          <w:szCs w:val="22"/>
          <w:lang w:val="es-CO" w:eastAsia="es-CO"/>
        </w:rPr>
      </w:pPr>
      <w:r w:rsidRPr="001E27F4">
        <w:rPr>
          <w:rFonts w:ascii="Arial" w:eastAsia="Arial" w:hAnsi="Arial" w:cs="Arial"/>
          <w:b/>
          <w:color w:val="000000"/>
          <w:sz w:val="22"/>
          <w:szCs w:val="22"/>
          <w:lang w:val="es-CO" w:eastAsia="es-CO"/>
        </w:rPr>
        <w:t xml:space="preserve">Referencia: </w:t>
      </w:r>
      <w:r w:rsidRPr="001E27F4">
        <w:rPr>
          <w:rFonts w:ascii="Arial" w:eastAsia="Arial" w:hAnsi="Arial" w:cs="Arial"/>
          <w:b/>
          <w:color w:val="000000"/>
          <w:sz w:val="22"/>
          <w:szCs w:val="22"/>
          <w:lang w:val="es-CO" w:eastAsia="es-CO"/>
        </w:rPr>
        <w:tab/>
      </w:r>
      <w:r w:rsidRPr="001E27F4">
        <w:rPr>
          <w:rFonts w:ascii="Arial" w:eastAsia="Arial" w:hAnsi="Arial" w:cs="Arial"/>
          <w:color w:val="000000"/>
          <w:sz w:val="22"/>
          <w:szCs w:val="22"/>
          <w:lang w:val="es-CO" w:eastAsia="es-CO"/>
        </w:rPr>
        <w:t>Respuesta a la petición con radicado No. 2025ER221827 del 24 de septiembre de 2025</w:t>
      </w:r>
      <w:r>
        <w:rPr>
          <w:rFonts w:ascii="Arial" w:eastAsia="Arial" w:hAnsi="Arial" w:cs="Arial"/>
          <w:color w:val="000000"/>
          <w:sz w:val="22"/>
          <w:szCs w:val="22"/>
          <w:lang w:val="es-CO" w:eastAsia="es-CO"/>
        </w:rPr>
        <w:t>.</w:t>
      </w:r>
    </w:p>
    <w:p w:rsidR="001E27F4" w:rsidRDefault="001E27F4" w:rsidP="001E27F4">
      <w:pPr>
        <w:shd w:val="clear" w:color="auto" w:fill="FFFFFF"/>
        <w:jc w:val="both"/>
        <w:rPr>
          <w:rFonts w:ascii="Arial" w:eastAsia="Arial" w:hAnsi="Arial" w:cs="Arial"/>
          <w:sz w:val="22"/>
          <w:szCs w:val="22"/>
          <w:lang w:val="es-CO" w:eastAsia="es-CO"/>
        </w:rPr>
      </w:pPr>
    </w:p>
    <w:p w:rsidR="001E27F4" w:rsidRPr="001E27F4" w:rsidRDefault="001E27F4" w:rsidP="001E27F4">
      <w:pPr>
        <w:shd w:val="clear" w:color="auto" w:fill="FFFFFF"/>
        <w:jc w:val="both"/>
        <w:rPr>
          <w:rFonts w:ascii="Arial" w:eastAsia="Arial" w:hAnsi="Arial" w:cs="Arial"/>
          <w:sz w:val="22"/>
          <w:szCs w:val="22"/>
          <w:lang w:val="es-CO" w:eastAsia="es-CO"/>
        </w:rPr>
      </w:pPr>
    </w:p>
    <w:p w:rsidR="001E27F4" w:rsidRPr="001E27F4" w:rsidRDefault="001E27F4" w:rsidP="001E27F4">
      <w:pPr>
        <w:shd w:val="clear" w:color="auto" w:fill="FFFFFF"/>
        <w:jc w:val="both"/>
        <w:rPr>
          <w:rFonts w:ascii="Arial" w:eastAsia="Arial" w:hAnsi="Arial" w:cs="Arial"/>
          <w:sz w:val="22"/>
          <w:szCs w:val="22"/>
          <w:lang w:val="es-CO" w:eastAsia="es-CO"/>
        </w:rPr>
      </w:pPr>
      <w:r w:rsidRPr="001E27F4">
        <w:rPr>
          <w:rFonts w:ascii="Arial" w:eastAsia="Arial" w:hAnsi="Arial" w:cs="Arial"/>
          <w:color w:val="000000"/>
          <w:sz w:val="22"/>
          <w:szCs w:val="22"/>
          <w:lang w:val="es-CO" w:eastAsia="es-CO"/>
        </w:rPr>
        <w:t>Cordial saludo,</w:t>
      </w:r>
    </w:p>
    <w:p w:rsidR="001E27F4" w:rsidRPr="001E27F4" w:rsidRDefault="001E27F4" w:rsidP="001E27F4">
      <w:pPr>
        <w:shd w:val="clear" w:color="auto" w:fill="FFFFFF"/>
        <w:jc w:val="both"/>
        <w:rPr>
          <w:rFonts w:ascii="Arial" w:eastAsia="Arial" w:hAnsi="Arial" w:cs="Arial"/>
          <w:sz w:val="22"/>
          <w:szCs w:val="22"/>
          <w:lang w:val="es-CO" w:eastAsia="es-CO"/>
        </w:rPr>
      </w:pPr>
    </w:p>
    <w:p w:rsidR="001E27F4" w:rsidRPr="001E27F4" w:rsidRDefault="001E27F4" w:rsidP="001E27F4">
      <w:pPr>
        <w:jc w:val="both"/>
        <w:rPr>
          <w:rFonts w:ascii="Arial" w:eastAsia="Arial" w:hAnsi="Arial" w:cs="Arial"/>
          <w:sz w:val="22"/>
          <w:szCs w:val="22"/>
          <w:lang w:val="es-CO" w:eastAsia="es-CO"/>
        </w:rPr>
      </w:pPr>
      <w:r w:rsidRPr="001E27F4">
        <w:rPr>
          <w:rFonts w:ascii="Arial" w:eastAsia="Arial" w:hAnsi="Arial" w:cs="Arial"/>
          <w:color w:val="000000"/>
          <w:sz w:val="22"/>
          <w:szCs w:val="22"/>
          <w:lang w:val="es-CO" w:eastAsia="es-CO"/>
        </w:rPr>
        <w:t xml:space="preserve">En atención a la petición de la referencia, en la cual el señor </w:t>
      </w:r>
      <w:r w:rsidRPr="001E27F4">
        <w:rPr>
          <w:rFonts w:ascii="Arial" w:eastAsia="Arial" w:hAnsi="Arial" w:cs="Arial"/>
          <w:sz w:val="22"/>
          <w:szCs w:val="22"/>
          <w:lang w:val="es-CO" w:eastAsia="es-CO"/>
        </w:rPr>
        <w:t>Eduardo José Del Valle Mora</w:t>
      </w:r>
      <w:r w:rsidRPr="001E27F4">
        <w:rPr>
          <w:rFonts w:ascii="Arial" w:eastAsia="Arial" w:hAnsi="Arial" w:cs="Arial"/>
          <w:color w:val="000000"/>
          <w:sz w:val="22"/>
          <w:szCs w:val="22"/>
          <w:lang w:val="es-CO" w:eastAsia="es-CO"/>
        </w:rPr>
        <w:t xml:space="preserve">, identificado con cédula de ciudadanía No. 80.757.094 de Bogotá, en su calidad de apoderado especial del </w:t>
      </w:r>
      <w:r w:rsidRPr="001E27F4">
        <w:rPr>
          <w:rFonts w:ascii="Arial" w:eastAsia="Arial" w:hAnsi="Arial" w:cs="Arial"/>
          <w:sz w:val="22"/>
          <w:szCs w:val="22"/>
          <w:lang w:val="es-CO" w:eastAsia="es-CO"/>
        </w:rPr>
        <w:t>INSTITUTO DE DESARROLLO URBANO - IDU</w:t>
      </w:r>
      <w:r w:rsidRPr="001E27F4">
        <w:rPr>
          <w:rFonts w:ascii="Arial" w:eastAsia="Arial" w:hAnsi="Arial" w:cs="Arial"/>
          <w:color w:val="000000"/>
          <w:sz w:val="22"/>
          <w:szCs w:val="22"/>
          <w:lang w:val="es-CO" w:eastAsia="es-CO"/>
        </w:rPr>
        <w:t>, solicita lo siguiente:</w:t>
      </w:r>
    </w:p>
    <w:p w:rsidR="001E27F4" w:rsidRPr="001E27F4" w:rsidRDefault="001E27F4" w:rsidP="001E27F4">
      <w:pPr>
        <w:tabs>
          <w:tab w:val="left" w:pos="8647"/>
        </w:tabs>
        <w:jc w:val="both"/>
        <w:rPr>
          <w:rFonts w:ascii="Arial" w:eastAsia="Arial" w:hAnsi="Arial" w:cs="Arial"/>
          <w:sz w:val="22"/>
          <w:szCs w:val="22"/>
          <w:lang w:val="es-CO" w:eastAsia="es-CO"/>
        </w:rPr>
      </w:pPr>
    </w:p>
    <w:p w:rsidR="001E27F4" w:rsidRPr="001E27F4" w:rsidRDefault="001E27F4" w:rsidP="001E27F4">
      <w:pPr>
        <w:tabs>
          <w:tab w:val="left" w:pos="8647"/>
        </w:tabs>
        <w:ind w:left="709" w:right="573"/>
        <w:jc w:val="both"/>
        <w:rPr>
          <w:rFonts w:ascii="Arial" w:eastAsia="Arial" w:hAnsi="Arial" w:cs="Arial"/>
          <w:i/>
          <w:sz w:val="22"/>
          <w:szCs w:val="22"/>
          <w:lang w:val="es-CO" w:eastAsia="es-CO"/>
        </w:rPr>
      </w:pPr>
      <w:r w:rsidRPr="001E27F4">
        <w:rPr>
          <w:rFonts w:ascii="Arial" w:eastAsia="Arial" w:hAnsi="Arial" w:cs="Arial"/>
          <w:i/>
          <w:sz w:val="22"/>
          <w:szCs w:val="22"/>
          <w:lang w:val="es-CO" w:eastAsia="es-CO"/>
        </w:rPr>
        <w:t>“</w:t>
      </w:r>
      <w:r w:rsidRPr="001E27F4">
        <w:rPr>
          <w:rFonts w:ascii="Arial" w:eastAsia="Arial" w:hAnsi="Arial" w:cs="Arial"/>
          <w:b/>
          <w:i/>
          <w:sz w:val="22"/>
          <w:szCs w:val="22"/>
          <w:lang w:val="es-CO" w:eastAsia="es-CO"/>
        </w:rPr>
        <w:t>3.</w:t>
      </w:r>
      <w:r w:rsidRPr="001E27F4">
        <w:rPr>
          <w:rFonts w:ascii="Arial" w:eastAsia="Arial" w:hAnsi="Arial" w:cs="Arial"/>
          <w:i/>
          <w:sz w:val="22"/>
          <w:szCs w:val="22"/>
          <w:lang w:val="es-CO" w:eastAsia="es-CO"/>
        </w:rPr>
        <w:t xml:space="preserve"> </w:t>
      </w:r>
      <w:r w:rsidRPr="001E27F4">
        <w:rPr>
          <w:rFonts w:ascii="Arial" w:eastAsia="Arial" w:hAnsi="Arial" w:cs="Arial"/>
          <w:b/>
          <w:i/>
          <w:sz w:val="22"/>
          <w:szCs w:val="22"/>
          <w:lang w:val="es-CO" w:eastAsia="es-CO"/>
        </w:rPr>
        <w:t>Peticiones</w:t>
      </w:r>
    </w:p>
    <w:p w:rsidR="001E27F4" w:rsidRPr="001E27F4" w:rsidRDefault="001E27F4" w:rsidP="001E27F4">
      <w:pPr>
        <w:tabs>
          <w:tab w:val="left" w:pos="8647"/>
        </w:tabs>
        <w:ind w:left="709" w:right="573"/>
        <w:jc w:val="both"/>
        <w:rPr>
          <w:rFonts w:ascii="Arial" w:eastAsia="Arial" w:hAnsi="Arial" w:cs="Arial"/>
          <w:b/>
          <w:i/>
          <w:sz w:val="22"/>
          <w:szCs w:val="22"/>
          <w:lang w:val="es-CO" w:eastAsia="es-CO"/>
        </w:rPr>
      </w:pPr>
    </w:p>
    <w:p w:rsidR="001E27F4" w:rsidRPr="001E27F4" w:rsidRDefault="001E27F4" w:rsidP="001E27F4">
      <w:pPr>
        <w:tabs>
          <w:tab w:val="left" w:pos="8647"/>
        </w:tabs>
        <w:ind w:left="709" w:right="573"/>
        <w:jc w:val="both"/>
        <w:rPr>
          <w:rFonts w:ascii="Arial" w:eastAsia="Arial" w:hAnsi="Arial" w:cs="Arial"/>
          <w:i/>
          <w:sz w:val="22"/>
          <w:szCs w:val="22"/>
          <w:lang w:val="es-CO" w:eastAsia="es-CO"/>
        </w:rPr>
      </w:pPr>
      <w:r w:rsidRPr="001E27F4">
        <w:rPr>
          <w:rFonts w:ascii="Arial" w:eastAsia="Arial" w:hAnsi="Arial" w:cs="Arial"/>
          <w:i/>
          <w:sz w:val="22"/>
          <w:szCs w:val="22"/>
          <w:lang w:val="es-CO" w:eastAsia="es-CO"/>
        </w:rPr>
        <w:t>Conforme a las consideraciones presentadas, respetuosamente se solicita a la SDA las siguientes peticiones:</w:t>
      </w:r>
    </w:p>
    <w:p w:rsidR="001E27F4" w:rsidRPr="001E27F4" w:rsidRDefault="001E27F4" w:rsidP="001E27F4">
      <w:pPr>
        <w:tabs>
          <w:tab w:val="left" w:pos="8647"/>
        </w:tabs>
        <w:ind w:left="709" w:right="573"/>
        <w:jc w:val="both"/>
        <w:rPr>
          <w:rFonts w:ascii="Arial" w:eastAsia="Arial" w:hAnsi="Arial" w:cs="Arial"/>
          <w:i/>
          <w:sz w:val="22"/>
          <w:szCs w:val="22"/>
          <w:lang w:val="es-CO" w:eastAsia="es-CO"/>
        </w:rPr>
      </w:pPr>
    </w:p>
    <w:p w:rsidR="001E27F4" w:rsidRPr="001E27F4" w:rsidRDefault="001E27F4" w:rsidP="001E27F4">
      <w:pPr>
        <w:tabs>
          <w:tab w:val="left" w:pos="8647"/>
        </w:tabs>
        <w:ind w:left="709" w:right="573"/>
        <w:jc w:val="both"/>
        <w:rPr>
          <w:rFonts w:ascii="Arial" w:eastAsia="Arial" w:hAnsi="Arial" w:cs="Arial"/>
          <w:i/>
          <w:sz w:val="22"/>
          <w:szCs w:val="22"/>
          <w:lang w:val="es-CO" w:eastAsia="es-CO"/>
        </w:rPr>
      </w:pPr>
      <w:r w:rsidRPr="001E27F4">
        <w:rPr>
          <w:rFonts w:ascii="Arial" w:eastAsia="Arial" w:hAnsi="Arial" w:cs="Arial"/>
          <w:i/>
          <w:sz w:val="22"/>
          <w:szCs w:val="22"/>
          <w:lang w:val="es-CO" w:eastAsia="es-CO"/>
        </w:rPr>
        <w:t>3.1. PRIMERA PETICIÓN: Que, conforme al Memorando Interno No. 2018IE101332 del 07 de mayo de 2018 de la SDA adopte las gestiones necesarias para archivar cualquier acción de cobro que se realice en el marco de las obligaciones ordenadas mediante las Resoluciones No. 6118 del 2010 y No. 3640 de 2017, correspondiente al expediente SDA-03-2010-1299.</w:t>
      </w:r>
    </w:p>
    <w:p w:rsidR="001E27F4" w:rsidRPr="001E27F4" w:rsidRDefault="001E27F4" w:rsidP="001E27F4">
      <w:pPr>
        <w:tabs>
          <w:tab w:val="left" w:pos="8647"/>
        </w:tabs>
        <w:ind w:left="709" w:right="573"/>
        <w:jc w:val="both"/>
        <w:rPr>
          <w:rFonts w:ascii="Arial" w:eastAsia="Arial" w:hAnsi="Arial" w:cs="Arial"/>
          <w:i/>
          <w:sz w:val="22"/>
          <w:szCs w:val="22"/>
          <w:lang w:val="es-CO" w:eastAsia="es-CO"/>
        </w:rPr>
      </w:pPr>
    </w:p>
    <w:p w:rsidR="001E27F4" w:rsidRPr="001E27F4" w:rsidRDefault="001E27F4" w:rsidP="001E27F4">
      <w:pPr>
        <w:tabs>
          <w:tab w:val="left" w:pos="8647"/>
        </w:tabs>
        <w:ind w:left="709" w:right="573"/>
        <w:jc w:val="both"/>
        <w:rPr>
          <w:rFonts w:ascii="Arial" w:eastAsia="Arial" w:hAnsi="Arial" w:cs="Arial"/>
          <w:i/>
          <w:sz w:val="22"/>
          <w:szCs w:val="22"/>
          <w:lang w:val="es-CO" w:eastAsia="es-CO"/>
        </w:rPr>
      </w:pPr>
      <w:r w:rsidRPr="001E27F4">
        <w:rPr>
          <w:rFonts w:ascii="Arial" w:eastAsia="Arial" w:hAnsi="Arial" w:cs="Arial"/>
          <w:i/>
          <w:sz w:val="22"/>
          <w:szCs w:val="22"/>
          <w:lang w:val="es-CO" w:eastAsia="es-CO"/>
        </w:rPr>
        <w:t>3.2. SEGUNDA PETICIÓN: Que la SDA se abstenga de iniciar, suspender o culminar acción de cobro coactiva y/o judicial en el marco de las obligaciones ordenadas mediante las Resoluciones No. 6118 del 2010 y No. 3640 de 2017, correspondiente al expediente SDA03-2010-1299, que actualmente se está ejecutando por la Secretaría Distrital de Hacienda mediante el proceso coactivo No. 202109228100004675 - OGC-2018-1907”.</w:t>
      </w:r>
    </w:p>
    <w:p w:rsidR="001E27F4" w:rsidRPr="001E27F4" w:rsidRDefault="001E27F4" w:rsidP="001E27F4">
      <w:pPr>
        <w:jc w:val="both"/>
        <w:rPr>
          <w:rFonts w:ascii="Arial" w:eastAsia="Arial" w:hAnsi="Arial" w:cs="Arial"/>
          <w:color w:val="000000"/>
          <w:sz w:val="22"/>
          <w:szCs w:val="22"/>
          <w:lang w:val="es-CO" w:eastAsia="es-CO"/>
        </w:rPr>
      </w:pPr>
    </w:p>
    <w:p w:rsidR="001E27F4" w:rsidRPr="001E27F4" w:rsidRDefault="001E27F4" w:rsidP="001E27F4">
      <w:pPr>
        <w:jc w:val="both"/>
        <w:rPr>
          <w:rFonts w:ascii="Arial" w:eastAsia="Arial" w:hAnsi="Arial" w:cs="Arial"/>
          <w:sz w:val="22"/>
          <w:szCs w:val="22"/>
          <w:lang w:val="es-CO" w:eastAsia="es-CO"/>
        </w:rPr>
      </w:pPr>
      <w:r w:rsidRPr="001E27F4">
        <w:rPr>
          <w:rFonts w:ascii="Arial" w:eastAsia="Arial" w:hAnsi="Arial" w:cs="Arial"/>
          <w:color w:val="000000"/>
          <w:sz w:val="22"/>
          <w:szCs w:val="22"/>
          <w:lang w:val="es-CO" w:eastAsia="es-CO"/>
        </w:rPr>
        <w:t xml:space="preserve">Esta Autoridad le informa que la Subdirección de Silvicultura a través del memorando No. 2025IE251849 de 22 de octubre de 2025, solicitó información a la Subdirección Financiera de esta </w:t>
      </w:r>
      <w:r w:rsidRPr="001E27F4">
        <w:rPr>
          <w:rFonts w:ascii="Arial" w:eastAsia="Arial" w:hAnsi="Arial" w:cs="Arial"/>
          <w:sz w:val="22"/>
          <w:szCs w:val="22"/>
          <w:lang w:val="es-CO" w:eastAsia="es-CO"/>
        </w:rPr>
        <w:t>Secretaría</w:t>
      </w:r>
      <w:r w:rsidRPr="001E27F4">
        <w:rPr>
          <w:rFonts w:ascii="Arial" w:eastAsia="Arial" w:hAnsi="Arial" w:cs="Arial"/>
          <w:color w:val="000000"/>
          <w:sz w:val="22"/>
          <w:szCs w:val="22"/>
          <w:lang w:val="es-CO" w:eastAsia="es-CO"/>
        </w:rPr>
        <w:t xml:space="preserve">, respecto de las gestiones de cobro persuasivo y coactivo adelantadas para asegurar los pagos derivados de </w:t>
      </w:r>
      <w:r w:rsidRPr="001E27F4">
        <w:rPr>
          <w:rFonts w:ascii="Arial" w:eastAsia="Arial" w:hAnsi="Arial" w:cs="Arial"/>
          <w:sz w:val="22"/>
          <w:szCs w:val="22"/>
          <w:lang w:val="es-CO" w:eastAsia="es-CO"/>
        </w:rPr>
        <w:t>la Resolución No. 6118 del 18 de agosto de 2010 y su consecuente Resolución de exigencia de pago No. 03640 del 19 de diciembre de 2017.</w:t>
      </w:r>
    </w:p>
    <w:p w:rsidR="001E27F4" w:rsidRPr="001E27F4" w:rsidRDefault="001E27F4" w:rsidP="001E27F4">
      <w:pPr>
        <w:jc w:val="both"/>
        <w:rPr>
          <w:rFonts w:ascii="Arial" w:eastAsia="Arial" w:hAnsi="Arial" w:cs="Arial"/>
          <w:i/>
          <w:sz w:val="22"/>
          <w:szCs w:val="22"/>
          <w:lang w:val="es-CO" w:eastAsia="es-CO"/>
        </w:rPr>
      </w:pPr>
    </w:p>
    <w:p w:rsidR="001E27F4" w:rsidRDefault="001E27F4" w:rsidP="001E27F4">
      <w:pPr>
        <w:jc w:val="both"/>
        <w:rPr>
          <w:rFonts w:ascii="Arial" w:eastAsia="Arial" w:hAnsi="Arial" w:cs="Arial"/>
          <w:sz w:val="22"/>
          <w:szCs w:val="22"/>
          <w:lang w:val="es-CO" w:eastAsia="es-CO"/>
        </w:rPr>
      </w:pPr>
      <w:r w:rsidRPr="001E27F4">
        <w:rPr>
          <w:rFonts w:ascii="Arial" w:eastAsia="Arial" w:hAnsi="Arial" w:cs="Arial"/>
          <w:sz w:val="22"/>
          <w:szCs w:val="22"/>
          <w:lang w:val="es-CO" w:eastAsia="es-CO"/>
        </w:rPr>
        <w:t>Por lo que, la Subdirección Financiera (Ahora Dirección Administrativa y Financiera) mediante memorando No. 2025IE259102 de 31 de octubre de 2025, dio respuesta en los siguientes términos:</w:t>
      </w:r>
    </w:p>
    <w:p w:rsidR="001E27F4" w:rsidRPr="001E27F4" w:rsidRDefault="001E27F4" w:rsidP="001E27F4">
      <w:pPr>
        <w:jc w:val="both"/>
        <w:rPr>
          <w:rFonts w:ascii="Arial" w:eastAsia="Arial" w:hAnsi="Arial" w:cs="Arial"/>
          <w:lang w:val="es-CO" w:eastAsia="es-CO"/>
        </w:rPr>
      </w:pPr>
    </w:p>
    <w:p w:rsidR="001E27F4" w:rsidRPr="001E27F4" w:rsidRDefault="001E27F4" w:rsidP="001E27F4">
      <w:pPr>
        <w:ind w:left="567" w:right="573"/>
        <w:jc w:val="both"/>
        <w:rPr>
          <w:rFonts w:ascii="Arial" w:eastAsia="Arial" w:hAnsi="Arial" w:cs="Arial"/>
          <w:i/>
          <w:iCs/>
          <w:sz w:val="22"/>
          <w:szCs w:val="22"/>
          <w:lang w:val="es-CO" w:eastAsia="es-CO"/>
        </w:rPr>
      </w:pPr>
      <w:r w:rsidRPr="001E27F4">
        <w:rPr>
          <w:rFonts w:ascii="Arial" w:eastAsia="Arial" w:hAnsi="Arial" w:cs="Arial"/>
          <w:i/>
          <w:iCs/>
          <w:sz w:val="22"/>
          <w:szCs w:val="22"/>
          <w:lang w:val="es-CO" w:eastAsia="es-CO"/>
        </w:rPr>
        <w:t>“En atención a la comunicación del asunto, en la cual solicita: “se remita la información sobre el estado actual del trámite de cobro coactivo, así como las diligencias realizadas en el cobro persuasivo de los siguientes procesos”; de manera atenta nos permitimos informar que, una vez revisados los Estados Financieros de esta Secretaría y el estado de deudores con corte a septiembre de 2025, se evidencia lo siguiente:</w:t>
      </w:r>
    </w:p>
    <w:p w:rsidR="001E27F4" w:rsidRPr="001E27F4" w:rsidRDefault="001E27F4" w:rsidP="001E27F4">
      <w:pPr>
        <w:ind w:left="567" w:right="573"/>
        <w:jc w:val="both"/>
        <w:rPr>
          <w:rFonts w:ascii="Arial" w:eastAsia="Arial" w:hAnsi="Arial" w:cs="Arial"/>
          <w:i/>
          <w:iCs/>
          <w:sz w:val="22"/>
          <w:szCs w:val="22"/>
          <w:lang w:val="es-CO" w:eastAsia="es-CO"/>
        </w:rPr>
      </w:pPr>
    </w:p>
    <w:p w:rsidR="001E27F4" w:rsidRPr="001E27F4" w:rsidRDefault="001E27F4" w:rsidP="001E27F4">
      <w:pPr>
        <w:ind w:left="567" w:right="573"/>
        <w:jc w:val="both"/>
        <w:rPr>
          <w:rFonts w:ascii="Arial" w:eastAsia="Arial" w:hAnsi="Arial" w:cs="Arial"/>
          <w:i/>
          <w:iCs/>
          <w:sz w:val="22"/>
          <w:szCs w:val="22"/>
          <w:lang w:val="es-CO" w:eastAsia="es-CO"/>
        </w:rPr>
      </w:pPr>
      <w:r w:rsidRPr="001E27F4">
        <w:rPr>
          <w:noProof/>
          <w:sz w:val="28"/>
          <w:szCs w:val="28"/>
          <w:lang w:val="es-CO" w:eastAsia="es-CO"/>
        </w:rPr>
        <w:drawing>
          <wp:inline distT="0" distB="0" distL="0" distR="0" wp14:anchorId="2BC20392" wp14:editId="4D0FBBD9">
            <wp:extent cx="4838700" cy="366443"/>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124272" cy="388070"/>
                    </a:xfrm>
                    <a:prstGeom prst="rect">
                      <a:avLst/>
                    </a:prstGeom>
                  </pic:spPr>
                </pic:pic>
              </a:graphicData>
            </a:graphic>
          </wp:inline>
        </w:drawing>
      </w:r>
    </w:p>
    <w:p w:rsidR="001E27F4" w:rsidRPr="001E27F4" w:rsidRDefault="001E27F4" w:rsidP="001E27F4">
      <w:pPr>
        <w:ind w:left="567" w:right="573"/>
        <w:jc w:val="both"/>
        <w:rPr>
          <w:rFonts w:ascii="Arial" w:eastAsia="Arial" w:hAnsi="Arial" w:cs="Arial"/>
          <w:i/>
          <w:iCs/>
          <w:sz w:val="22"/>
          <w:szCs w:val="22"/>
          <w:lang w:val="es-CO" w:eastAsia="es-CO"/>
        </w:rPr>
      </w:pPr>
      <w:r w:rsidRPr="001E27F4">
        <w:rPr>
          <w:noProof/>
          <w:sz w:val="28"/>
          <w:szCs w:val="28"/>
          <w:lang w:val="es-CO" w:eastAsia="es-CO"/>
        </w:rPr>
        <w:drawing>
          <wp:inline distT="0" distB="0" distL="0" distR="0" wp14:anchorId="6FA65C6E" wp14:editId="5C34D7AD">
            <wp:extent cx="4829175" cy="263587"/>
            <wp:effectExtent l="0" t="0" r="0" b="317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73802" cy="287856"/>
                    </a:xfrm>
                    <a:prstGeom prst="rect">
                      <a:avLst/>
                    </a:prstGeom>
                  </pic:spPr>
                </pic:pic>
              </a:graphicData>
            </a:graphic>
          </wp:inline>
        </w:drawing>
      </w:r>
    </w:p>
    <w:p w:rsidR="001E27F4" w:rsidRPr="001E27F4" w:rsidRDefault="001E27F4" w:rsidP="001E27F4">
      <w:pPr>
        <w:ind w:left="567" w:right="573"/>
        <w:jc w:val="both"/>
        <w:rPr>
          <w:rFonts w:ascii="Arial" w:eastAsia="Arial" w:hAnsi="Arial" w:cs="Arial"/>
          <w:i/>
          <w:iCs/>
          <w:sz w:val="22"/>
          <w:szCs w:val="22"/>
          <w:lang w:val="es-CO" w:eastAsia="es-CO"/>
        </w:rPr>
      </w:pPr>
      <w:r w:rsidRPr="001E27F4">
        <w:rPr>
          <w:rFonts w:ascii="Arial" w:eastAsia="Arial" w:hAnsi="Arial" w:cs="Arial"/>
          <w:i/>
          <w:iCs/>
          <w:sz w:val="22"/>
          <w:szCs w:val="22"/>
          <w:lang w:val="es-CO" w:eastAsia="es-CO"/>
        </w:rPr>
        <w:t>(…)”</w:t>
      </w:r>
    </w:p>
    <w:p w:rsidR="001E27F4" w:rsidRPr="001E27F4" w:rsidRDefault="001E27F4" w:rsidP="001E27F4">
      <w:pPr>
        <w:jc w:val="both"/>
        <w:rPr>
          <w:rFonts w:ascii="Arial" w:eastAsia="Arial" w:hAnsi="Arial" w:cs="Arial"/>
          <w:color w:val="000000"/>
          <w:sz w:val="22"/>
          <w:szCs w:val="22"/>
          <w:lang w:val="es-CO" w:eastAsia="es-CO"/>
        </w:rPr>
      </w:pPr>
    </w:p>
    <w:p w:rsidR="001E27F4" w:rsidRPr="001E27F4" w:rsidRDefault="001E27F4" w:rsidP="001E27F4">
      <w:pPr>
        <w:jc w:val="both"/>
        <w:rPr>
          <w:rFonts w:ascii="Arial" w:eastAsia="Arial" w:hAnsi="Arial" w:cs="Arial"/>
          <w:color w:val="000000"/>
          <w:sz w:val="22"/>
          <w:szCs w:val="22"/>
          <w:lang w:val="es-CO" w:eastAsia="es-CO"/>
        </w:rPr>
      </w:pPr>
      <w:r w:rsidRPr="001E27F4">
        <w:rPr>
          <w:rFonts w:ascii="Arial" w:eastAsia="Arial" w:hAnsi="Arial" w:cs="Arial"/>
          <w:color w:val="000000"/>
          <w:sz w:val="22"/>
          <w:szCs w:val="22"/>
          <w:lang w:val="es-CO" w:eastAsia="es-CO"/>
        </w:rPr>
        <w:t>De conformidad con la información anterior, a septiembre de 2025, no se evidencia el pago frente a las obligaciones por concepto de Compensación por valor de TREINTA Y OCHO MILLONES SESENTA Y OCHO MIL OCHOCIENTOS PESOS ($38.068.800) M/cte., y por concepto de Evaluación y Seguimiento, por la suma de QUINIENTOS QUINCE MIL PESOS ($515.000) M/cte., por lo cual, siguen siendo exigibles.</w:t>
      </w:r>
    </w:p>
    <w:p w:rsidR="001E27F4" w:rsidRPr="001E27F4" w:rsidRDefault="001E27F4" w:rsidP="001E27F4">
      <w:pPr>
        <w:jc w:val="both"/>
        <w:rPr>
          <w:rFonts w:ascii="Arial" w:eastAsia="Arial" w:hAnsi="Arial" w:cs="Arial"/>
          <w:color w:val="000000"/>
          <w:sz w:val="22"/>
          <w:szCs w:val="22"/>
          <w:lang w:val="es-CO" w:eastAsia="es-CO"/>
        </w:rPr>
      </w:pPr>
    </w:p>
    <w:p w:rsidR="001E27F4" w:rsidRPr="001E27F4" w:rsidRDefault="001E27F4" w:rsidP="001E27F4">
      <w:pPr>
        <w:jc w:val="both"/>
        <w:rPr>
          <w:rFonts w:ascii="Arial" w:eastAsia="Arial" w:hAnsi="Arial" w:cs="Arial"/>
          <w:color w:val="000000"/>
          <w:sz w:val="22"/>
          <w:szCs w:val="22"/>
          <w:lang w:val="es-CO" w:eastAsia="es-CO"/>
        </w:rPr>
      </w:pPr>
      <w:r w:rsidRPr="001E27F4">
        <w:rPr>
          <w:rFonts w:ascii="Arial" w:eastAsia="Arial" w:hAnsi="Arial" w:cs="Arial"/>
          <w:sz w:val="22"/>
          <w:szCs w:val="22"/>
          <w:lang w:val="es-CO" w:eastAsia="es-CO"/>
        </w:rPr>
        <w:t xml:space="preserve">Teniendo en cuenta lo anterior, en primer lugar, frente a lo </w:t>
      </w:r>
      <w:r w:rsidRPr="001E27F4">
        <w:rPr>
          <w:rFonts w:ascii="Arial" w:eastAsia="Arial" w:hAnsi="Arial" w:cs="Arial"/>
          <w:color w:val="000000"/>
          <w:sz w:val="22"/>
          <w:szCs w:val="22"/>
          <w:lang w:val="es-CO" w:eastAsia="es-CO"/>
        </w:rPr>
        <w:t>señalado en los puntos 2.1.4, 2.1.5 y 2.1.6 de su escrito que expone:</w:t>
      </w:r>
    </w:p>
    <w:p w:rsidR="001E27F4" w:rsidRPr="001E27F4" w:rsidRDefault="001E27F4" w:rsidP="001E27F4">
      <w:pPr>
        <w:jc w:val="both"/>
        <w:rPr>
          <w:rFonts w:ascii="Arial" w:eastAsia="Arial" w:hAnsi="Arial" w:cs="Arial"/>
          <w:color w:val="000000"/>
          <w:sz w:val="22"/>
          <w:szCs w:val="22"/>
          <w:lang w:val="es-CO" w:eastAsia="es-CO"/>
        </w:rPr>
      </w:pPr>
    </w:p>
    <w:p w:rsidR="001E27F4" w:rsidRDefault="001E27F4" w:rsidP="001E27F4">
      <w:pPr>
        <w:ind w:left="709" w:right="573"/>
        <w:jc w:val="both"/>
        <w:rPr>
          <w:rFonts w:ascii="Arial" w:eastAsia="Arial" w:hAnsi="Arial" w:cs="Arial"/>
          <w:i/>
          <w:color w:val="000000"/>
          <w:sz w:val="22"/>
          <w:szCs w:val="22"/>
          <w:lang w:eastAsia="es-CO"/>
        </w:rPr>
      </w:pPr>
      <w:r w:rsidRPr="001E27F4">
        <w:rPr>
          <w:rFonts w:ascii="Arial" w:eastAsia="Arial" w:hAnsi="Arial" w:cs="Arial"/>
          <w:i/>
          <w:color w:val="000000"/>
          <w:sz w:val="22"/>
          <w:szCs w:val="22"/>
          <w:lang w:val="es-CO" w:eastAsia="es-CO"/>
        </w:rPr>
        <w:t>“</w:t>
      </w:r>
      <w:r w:rsidR="006312CB">
        <w:rPr>
          <w:rFonts w:ascii="Arial" w:eastAsia="Arial" w:hAnsi="Arial" w:cs="Arial"/>
          <w:i/>
          <w:color w:val="000000"/>
          <w:sz w:val="22"/>
          <w:szCs w:val="22"/>
          <w:lang w:val="es-CO" w:eastAsia="es-CO"/>
        </w:rPr>
        <w:t xml:space="preserve">2.1.4. </w:t>
      </w:r>
      <w:r w:rsidRPr="001E27F4">
        <w:rPr>
          <w:rFonts w:ascii="Arial" w:eastAsia="Arial" w:hAnsi="Arial" w:cs="Arial"/>
          <w:i/>
          <w:color w:val="000000"/>
          <w:sz w:val="22"/>
          <w:szCs w:val="22"/>
          <w:lang w:eastAsia="es-CO"/>
        </w:rPr>
        <w:t xml:space="preserve">Como se presentó en los Antecedentes en este oficio, la Resolución No. 6118 del 18 de agosto del 2010 por la cual se estableció el pago de TREINTA Y OCHO MILLONES SESENTA Y OCHO MIL OCHOCIENTOS PESOS ($38.068.800) </w:t>
      </w:r>
      <w:proofErr w:type="spellStart"/>
      <w:r w:rsidRPr="001E27F4">
        <w:rPr>
          <w:rFonts w:ascii="Arial" w:eastAsia="Arial" w:hAnsi="Arial" w:cs="Arial"/>
          <w:i/>
          <w:color w:val="000000"/>
          <w:sz w:val="22"/>
          <w:szCs w:val="22"/>
          <w:lang w:eastAsia="es-CO"/>
        </w:rPr>
        <w:t>Mcte</w:t>
      </w:r>
      <w:proofErr w:type="spellEnd"/>
      <w:r w:rsidRPr="001E27F4">
        <w:rPr>
          <w:rFonts w:ascii="Arial" w:eastAsia="Arial" w:hAnsi="Arial" w:cs="Arial"/>
          <w:i/>
          <w:color w:val="000000"/>
          <w:sz w:val="22"/>
          <w:szCs w:val="22"/>
          <w:lang w:eastAsia="es-CO"/>
        </w:rPr>
        <w:t xml:space="preserve"> por concepto de compensación y por concepto de Evaluación y Seguimiento la suma de QUINIENTOS QUINCE MIL PESOS ($515.000) </w:t>
      </w:r>
      <w:proofErr w:type="spellStart"/>
      <w:r w:rsidRPr="001E27F4">
        <w:rPr>
          <w:rFonts w:ascii="Arial" w:eastAsia="Arial" w:hAnsi="Arial" w:cs="Arial"/>
          <w:i/>
          <w:color w:val="000000"/>
          <w:sz w:val="22"/>
          <w:szCs w:val="22"/>
          <w:lang w:eastAsia="es-CO"/>
        </w:rPr>
        <w:t>Mcte</w:t>
      </w:r>
      <w:proofErr w:type="spellEnd"/>
      <w:r w:rsidRPr="001E27F4">
        <w:rPr>
          <w:rFonts w:ascii="Arial" w:eastAsia="Arial" w:hAnsi="Arial" w:cs="Arial"/>
          <w:i/>
          <w:color w:val="000000"/>
          <w:sz w:val="22"/>
          <w:szCs w:val="22"/>
          <w:lang w:eastAsia="es-CO"/>
        </w:rPr>
        <w:t>, fue notificada el 19 de agosto de 2010; quedando en firme el acto administrativo por cual se otorgó el permiso ambiental el 28 de agosto de 2010. Así mismo, la Resolución No. 3640 de 2017 expedida por la SDA en la cual se hace la exigencia del cumplimiento de los pagos antes relacionados, fue notificada el 12 de marzo de 2018. Teniendo en cuenta que no se interpuso recurso de reposición, el acto administrativo quedó en firme el 26 de marzo de 2018.</w:t>
      </w:r>
    </w:p>
    <w:p w:rsidR="001E27F4" w:rsidRPr="001E27F4" w:rsidRDefault="001E27F4" w:rsidP="001E27F4">
      <w:pPr>
        <w:ind w:left="709" w:right="573"/>
        <w:jc w:val="both"/>
        <w:rPr>
          <w:rFonts w:ascii="Arial" w:eastAsia="Arial" w:hAnsi="Arial" w:cs="Arial"/>
          <w:i/>
          <w:sz w:val="22"/>
          <w:szCs w:val="22"/>
          <w:lang w:val="es-CO" w:eastAsia="es-CO"/>
        </w:rPr>
      </w:pPr>
    </w:p>
    <w:p w:rsidR="001E27F4" w:rsidRDefault="001E27F4" w:rsidP="001E27F4">
      <w:pPr>
        <w:ind w:left="709" w:right="616"/>
        <w:jc w:val="both"/>
        <w:rPr>
          <w:rFonts w:ascii="Arial" w:eastAsia="Arial" w:hAnsi="Arial" w:cs="Arial"/>
          <w:i/>
          <w:color w:val="000000"/>
          <w:sz w:val="22"/>
          <w:szCs w:val="22"/>
          <w:lang w:eastAsia="es-CO"/>
        </w:rPr>
      </w:pPr>
      <w:r w:rsidRPr="001E27F4">
        <w:rPr>
          <w:rFonts w:ascii="Arial" w:eastAsia="Arial" w:hAnsi="Arial" w:cs="Arial"/>
          <w:i/>
          <w:color w:val="000000"/>
          <w:sz w:val="22"/>
          <w:szCs w:val="22"/>
          <w:lang w:eastAsia="es-CO"/>
        </w:rPr>
        <w:t>2.1.5.</w:t>
      </w:r>
      <w:r w:rsidR="006312CB">
        <w:rPr>
          <w:rFonts w:ascii="Arial" w:eastAsia="Arial" w:hAnsi="Arial" w:cs="Arial"/>
          <w:i/>
          <w:color w:val="000000"/>
          <w:sz w:val="22"/>
          <w:szCs w:val="22"/>
          <w:lang w:eastAsia="es-CO"/>
        </w:rPr>
        <w:t xml:space="preserve"> </w:t>
      </w:r>
      <w:r w:rsidRPr="001E27F4">
        <w:rPr>
          <w:rFonts w:ascii="Arial" w:eastAsia="Arial" w:hAnsi="Arial" w:cs="Arial"/>
          <w:i/>
          <w:color w:val="000000"/>
          <w:sz w:val="22"/>
          <w:szCs w:val="22"/>
          <w:lang w:eastAsia="es-CO"/>
        </w:rPr>
        <w:t>E</w:t>
      </w:r>
      <w:bookmarkStart w:id="2" w:name="_GoBack"/>
      <w:bookmarkEnd w:id="2"/>
      <w:r w:rsidRPr="001E27F4">
        <w:rPr>
          <w:rFonts w:ascii="Arial" w:eastAsia="Arial" w:hAnsi="Arial" w:cs="Arial"/>
          <w:i/>
          <w:color w:val="000000"/>
          <w:sz w:val="22"/>
          <w:szCs w:val="22"/>
          <w:lang w:eastAsia="es-CO"/>
        </w:rPr>
        <w:t xml:space="preserve">n este sentido, si se cuentan cinco (5) años desde la fecha de ejecutoria del acto administrativo por el cual se otorgó el permiso y del que ordenó la exigencia del pago, conforme al artículo 817 del Estatuto Tributario, la acción de cobro prescribió. Lo anterior, en la medida que la SDA tenía hasta el 27 de agosto de 2015 y el 25 de marzo de 2023, respectivamente, para iniciar cualquier acción de cobro. </w:t>
      </w:r>
    </w:p>
    <w:p w:rsidR="001E27F4" w:rsidRDefault="001E27F4" w:rsidP="001E27F4">
      <w:pPr>
        <w:ind w:left="709" w:right="616"/>
        <w:jc w:val="both"/>
        <w:rPr>
          <w:rFonts w:ascii="Arial" w:eastAsia="Arial" w:hAnsi="Arial" w:cs="Arial"/>
          <w:i/>
          <w:color w:val="000000"/>
          <w:sz w:val="22"/>
          <w:szCs w:val="22"/>
          <w:lang w:eastAsia="es-CO"/>
        </w:rPr>
      </w:pPr>
    </w:p>
    <w:p w:rsidR="001E27F4" w:rsidRDefault="001E27F4" w:rsidP="001E27F4">
      <w:pPr>
        <w:ind w:left="709" w:right="616"/>
        <w:jc w:val="both"/>
        <w:rPr>
          <w:rFonts w:ascii="Arial" w:eastAsia="Arial" w:hAnsi="Arial" w:cs="Arial"/>
          <w:i/>
          <w:color w:val="000000"/>
          <w:sz w:val="22"/>
          <w:szCs w:val="22"/>
          <w:lang w:eastAsia="es-CO"/>
        </w:rPr>
      </w:pPr>
      <w:r w:rsidRPr="001E27F4">
        <w:rPr>
          <w:rFonts w:ascii="Arial" w:eastAsia="Arial" w:hAnsi="Arial" w:cs="Arial"/>
          <w:i/>
          <w:color w:val="000000"/>
          <w:sz w:val="22"/>
          <w:szCs w:val="22"/>
          <w:lang w:eastAsia="es-CO"/>
        </w:rPr>
        <w:t xml:space="preserve">2.1.6. Por lo anterior, la acción de cobro por parte de la SDA en relación con los valores dispuestos en las Resoluciones No. 6118 de 2010 y No. 3640 de 2017 ya prescribieron, en la medida que transcurrieron más de 5 (cinco) años </w:t>
      </w:r>
      <w:r w:rsidRPr="001E27F4">
        <w:rPr>
          <w:rFonts w:ascii="Arial" w:eastAsia="Arial" w:hAnsi="Arial" w:cs="Arial"/>
          <w:i/>
          <w:color w:val="000000"/>
          <w:sz w:val="22"/>
          <w:szCs w:val="22"/>
          <w:lang w:eastAsia="es-CO"/>
        </w:rPr>
        <w:lastRenderedPageBreak/>
        <w:t>desde la fecha de ejecutoria de dichos actos administrativos. Por lo anterior, no hay lugar al cobro por parte de la autoridad ambiental</w:t>
      </w:r>
      <w:r>
        <w:rPr>
          <w:rFonts w:ascii="Arial" w:eastAsia="Arial" w:hAnsi="Arial" w:cs="Arial"/>
          <w:i/>
          <w:color w:val="000000"/>
          <w:sz w:val="22"/>
          <w:szCs w:val="22"/>
          <w:lang w:eastAsia="es-CO"/>
        </w:rPr>
        <w:t>”.</w:t>
      </w:r>
    </w:p>
    <w:p w:rsidR="001E27F4" w:rsidRPr="001E27F4" w:rsidRDefault="001E27F4" w:rsidP="001E27F4">
      <w:pPr>
        <w:ind w:left="567"/>
        <w:jc w:val="both"/>
        <w:rPr>
          <w:rFonts w:ascii="Arial" w:eastAsia="Arial" w:hAnsi="Arial" w:cs="Arial"/>
          <w:color w:val="000000"/>
          <w:sz w:val="22"/>
          <w:szCs w:val="22"/>
          <w:lang w:val="es-CO" w:eastAsia="es-CO"/>
        </w:rPr>
      </w:pPr>
    </w:p>
    <w:p w:rsidR="001E27F4" w:rsidRPr="001E27F4" w:rsidRDefault="001E27F4" w:rsidP="001E27F4">
      <w:pPr>
        <w:ind w:right="48"/>
        <w:jc w:val="both"/>
        <w:rPr>
          <w:rFonts w:ascii="Arial" w:eastAsia="Arial" w:hAnsi="Arial" w:cs="Arial"/>
          <w:sz w:val="22"/>
          <w:szCs w:val="22"/>
          <w:lang w:val="es-CO" w:eastAsia="es-CO"/>
        </w:rPr>
      </w:pPr>
      <w:r w:rsidRPr="001E27F4">
        <w:rPr>
          <w:rFonts w:ascii="Arial" w:eastAsia="Arial" w:hAnsi="Arial" w:cs="Arial"/>
          <w:color w:val="000000"/>
          <w:sz w:val="22"/>
          <w:szCs w:val="22"/>
          <w:lang w:val="es-CO" w:eastAsia="es-CO"/>
        </w:rPr>
        <w:t>Esta Secretaría se permite señalar que la Resolución de autorización</w:t>
      </w:r>
      <w:r w:rsidRPr="001E27F4">
        <w:rPr>
          <w:rFonts w:ascii="Arial" w:eastAsia="Arial" w:hAnsi="Arial" w:cs="Arial"/>
          <w:sz w:val="22"/>
          <w:szCs w:val="22"/>
          <w:lang w:val="es-CO" w:eastAsia="es-CO"/>
        </w:rPr>
        <w:t xml:space="preserve"> No. 6118 del 18 de agosto de 2010</w:t>
      </w:r>
      <w:r w:rsidRPr="001E27F4">
        <w:rPr>
          <w:rFonts w:ascii="Arial" w:eastAsia="Arial" w:hAnsi="Arial" w:cs="Arial"/>
          <w:color w:val="000000"/>
          <w:sz w:val="22"/>
          <w:szCs w:val="22"/>
          <w:lang w:val="es-CO" w:eastAsia="es-CO"/>
        </w:rPr>
        <w:t>, es un permiso, más no un t</w:t>
      </w:r>
      <w:r w:rsidRPr="001E27F4">
        <w:rPr>
          <w:rFonts w:ascii="Arial" w:eastAsia="Arial" w:hAnsi="Arial" w:cs="Arial"/>
          <w:sz w:val="22"/>
          <w:szCs w:val="22"/>
          <w:lang w:val="es-CO" w:eastAsia="es-CO"/>
        </w:rPr>
        <w:t xml:space="preserve">ítulo ejecutivo, dado que contiene unas autorizaciones más no obligaciones de ejecutar los tratamientos silviculturales autorizados, por lo que el cobro por concepto de compensación está condicionado a la realización de las actividades autorizadas, en el tiempo considerado por el solicitante dentro de la vigencia de la autorización, y por ende requiere de un acto administrativo de exigencia de cobro, para expresarse en la vida jurídica. </w:t>
      </w:r>
    </w:p>
    <w:p w:rsidR="001E27F4" w:rsidRPr="001E27F4" w:rsidRDefault="001E27F4" w:rsidP="001E27F4">
      <w:pPr>
        <w:ind w:right="48"/>
        <w:jc w:val="both"/>
        <w:rPr>
          <w:rFonts w:ascii="Arial" w:eastAsia="Arial" w:hAnsi="Arial" w:cs="Arial"/>
          <w:sz w:val="22"/>
          <w:szCs w:val="22"/>
          <w:lang w:val="es-CO" w:eastAsia="es-CO"/>
        </w:rPr>
      </w:pPr>
    </w:p>
    <w:p w:rsidR="001E27F4" w:rsidRPr="001E27F4" w:rsidRDefault="001E27F4" w:rsidP="001E27F4">
      <w:pPr>
        <w:ind w:right="48"/>
        <w:jc w:val="both"/>
        <w:rPr>
          <w:rFonts w:ascii="Arial" w:eastAsia="Arial" w:hAnsi="Arial" w:cs="Arial"/>
          <w:sz w:val="22"/>
          <w:szCs w:val="22"/>
          <w:highlight w:val="white"/>
          <w:lang w:val="es-CO" w:eastAsia="es-CO"/>
        </w:rPr>
      </w:pPr>
      <w:r w:rsidRPr="001E27F4">
        <w:rPr>
          <w:rFonts w:ascii="Arial" w:eastAsia="Arial" w:hAnsi="Arial" w:cs="Arial"/>
          <w:sz w:val="22"/>
          <w:szCs w:val="22"/>
          <w:lang w:val="es-CO" w:eastAsia="es-CO"/>
        </w:rPr>
        <w:t xml:space="preserve">Según el manual </w:t>
      </w:r>
      <w:r w:rsidRPr="001E27F4">
        <w:rPr>
          <w:rFonts w:ascii="Arial" w:eastAsia="Arial" w:hAnsi="Arial" w:cs="Arial"/>
          <w:sz w:val="22"/>
          <w:szCs w:val="22"/>
          <w:highlight w:val="white"/>
          <w:lang w:val="es-CO" w:eastAsia="es-CO"/>
        </w:rPr>
        <w:t>de Administración y Cobro de la Cartera No Tributaria de competencia de la Oficina de Ejecuciones Fiscales de la Dirección Distrital de Tesorería, adoptado por</w:t>
      </w:r>
      <w:r w:rsidRPr="001E27F4">
        <w:rPr>
          <w:rFonts w:ascii="Arial" w:eastAsia="Arial" w:hAnsi="Arial" w:cs="Arial"/>
          <w:sz w:val="22"/>
          <w:szCs w:val="22"/>
          <w:lang w:val="es-CO" w:eastAsia="es-CO"/>
        </w:rPr>
        <w:t xml:space="preserve"> la Resolución SDG-585 de 30 de noviembre de 2011, en su artículo 6°, define claramente un título ejecutivo como </w:t>
      </w:r>
      <w:r w:rsidRPr="001E27F4">
        <w:rPr>
          <w:rFonts w:ascii="Arial" w:eastAsia="Arial" w:hAnsi="Arial" w:cs="Arial"/>
          <w:sz w:val="22"/>
          <w:szCs w:val="22"/>
          <w:highlight w:val="white"/>
          <w:lang w:val="es-CO" w:eastAsia="es-CO"/>
        </w:rPr>
        <w:t>todo acto administrativo en el que consta una obligación clara, expresa y actualmente exigible, consistente en una suma de dinero a favor de las Entidades Distritales.</w:t>
      </w:r>
    </w:p>
    <w:p w:rsidR="001E27F4" w:rsidRPr="001E27F4" w:rsidRDefault="001E27F4" w:rsidP="001E27F4">
      <w:pPr>
        <w:ind w:right="48"/>
        <w:jc w:val="both"/>
        <w:rPr>
          <w:rFonts w:ascii="Arial" w:eastAsia="Arial" w:hAnsi="Arial" w:cs="Arial"/>
          <w:color w:val="333333"/>
          <w:sz w:val="21"/>
          <w:szCs w:val="21"/>
          <w:highlight w:val="white"/>
          <w:lang w:val="es-CO" w:eastAsia="es-CO"/>
        </w:rPr>
      </w:pPr>
    </w:p>
    <w:p w:rsidR="001E27F4" w:rsidRPr="001E27F4" w:rsidRDefault="001E27F4" w:rsidP="001E27F4">
      <w:pPr>
        <w:jc w:val="both"/>
        <w:rPr>
          <w:rFonts w:ascii="Arial" w:eastAsia="Arial" w:hAnsi="Arial" w:cs="Arial"/>
          <w:color w:val="000000"/>
          <w:sz w:val="22"/>
          <w:szCs w:val="22"/>
          <w:lang w:val="es-CO" w:eastAsia="es-CO"/>
        </w:rPr>
      </w:pPr>
      <w:r w:rsidRPr="001E27F4">
        <w:rPr>
          <w:rFonts w:ascii="Arial" w:eastAsia="Arial" w:hAnsi="Arial" w:cs="Arial"/>
          <w:color w:val="000000"/>
          <w:sz w:val="22"/>
          <w:szCs w:val="22"/>
          <w:lang w:val="es-CO" w:eastAsia="es-CO"/>
        </w:rPr>
        <w:t>Con lo anterior queda claro que, la resolución de autorización no es título valor, no contiene una obligación expresa, dado que el valor señalado en la misma no es determinado o específico, teniendo en cuenta que lo indicado puede variar por la voluntad del autorizado de ejecutar o no los tratamientos silviculturales.</w:t>
      </w:r>
    </w:p>
    <w:p w:rsidR="001E27F4" w:rsidRPr="001E27F4" w:rsidRDefault="001E27F4" w:rsidP="001E27F4">
      <w:pPr>
        <w:jc w:val="both"/>
        <w:rPr>
          <w:rFonts w:ascii="Arial" w:eastAsia="Arial" w:hAnsi="Arial" w:cs="Arial"/>
          <w:color w:val="000000"/>
          <w:sz w:val="22"/>
          <w:szCs w:val="22"/>
          <w:lang w:val="es-CO" w:eastAsia="es-CO"/>
        </w:rPr>
      </w:pPr>
    </w:p>
    <w:p w:rsidR="001E27F4" w:rsidRPr="001E27F4" w:rsidRDefault="001E27F4" w:rsidP="001E27F4">
      <w:pPr>
        <w:jc w:val="both"/>
        <w:rPr>
          <w:rFonts w:ascii="Arial" w:eastAsia="Arial" w:hAnsi="Arial" w:cs="Arial"/>
          <w:color w:val="000000"/>
          <w:sz w:val="22"/>
          <w:szCs w:val="22"/>
          <w:lang w:val="es-CO" w:eastAsia="es-CO"/>
        </w:rPr>
      </w:pPr>
      <w:r w:rsidRPr="001E27F4">
        <w:rPr>
          <w:rFonts w:ascii="Arial" w:eastAsia="Arial" w:hAnsi="Arial" w:cs="Arial"/>
          <w:color w:val="000000"/>
          <w:sz w:val="22"/>
          <w:szCs w:val="22"/>
          <w:lang w:val="es-CO" w:eastAsia="es-CO"/>
        </w:rPr>
        <w:t>Tampoco es exigible, poniendo de presente que debe efectuarse la visita de seguimiento a fin de verificar el cumplimiento de cada una de las obligaciones establecidas en la autorización otorgada, insumo que es materializado mediante un concepto técnico y puesto en conocimiento del autorizado a través de la Resolución de exigencia de pago.</w:t>
      </w:r>
    </w:p>
    <w:p w:rsidR="001E27F4" w:rsidRPr="001E27F4" w:rsidRDefault="001E27F4" w:rsidP="001E27F4">
      <w:pPr>
        <w:jc w:val="both"/>
        <w:rPr>
          <w:rFonts w:ascii="Arial" w:eastAsia="Arial" w:hAnsi="Arial" w:cs="Arial"/>
          <w:color w:val="000000"/>
          <w:sz w:val="22"/>
          <w:szCs w:val="22"/>
          <w:lang w:val="es-CO" w:eastAsia="es-CO"/>
        </w:rPr>
      </w:pPr>
    </w:p>
    <w:p w:rsidR="001E27F4" w:rsidRPr="001E27F4" w:rsidRDefault="001E27F4" w:rsidP="001E27F4">
      <w:pPr>
        <w:jc w:val="both"/>
        <w:rPr>
          <w:rFonts w:ascii="Arial" w:eastAsia="Arial" w:hAnsi="Arial" w:cs="Arial"/>
          <w:color w:val="000000"/>
          <w:sz w:val="22"/>
          <w:szCs w:val="22"/>
          <w:lang w:val="es-CO" w:eastAsia="es-CO"/>
        </w:rPr>
      </w:pPr>
      <w:r w:rsidRPr="001E27F4">
        <w:rPr>
          <w:rFonts w:ascii="Arial" w:eastAsia="Arial" w:hAnsi="Arial" w:cs="Arial"/>
          <w:color w:val="000000"/>
          <w:sz w:val="22"/>
          <w:szCs w:val="22"/>
          <w:lang w:val="es-CO" w:eastAsia="es-CO"/>
        </w:rPr>
        <w:t>Es a partir de la ejecutoria de la Resolución de exigencia de pago, que deben contarse los cinco (5) años para la prescripción de la acción de cobro, lo cual no sucedió en el proceso que nos ocupa teniendo en cuenta que esta Secretaría ha adelantado múltiples acciones para asegurar el pago de lo adeudado, pero, para ser específicos, es necesario citar el requerimiento realizado con el oficio con radicado No. 2018EE77109 de 11 de abril de 2018, donde se adelantó el cobro persuasivo tal como se muestra a continuación:</w:t>
      </w:r>
    </w:p>
    <w:p w:rsidR="001E27F4" w:rsidRPr="001E27F4" w:rsidRDefault="001E27F4" w:rsidP="001E27F4">
      <w:pPr>
        <w:jc w:val="both"/>
        <w:rPr>
          <w:rFonts w:ascii="Arial" w:eastAsia="Arial" w:hAnsi="Arial" w:cs="Arial"/>
          <w:color w:val="000000"/>
          <w:sz w:val="22"/>
          <w:szCs w:val="22"/>
          <w:lang w:val="es-CO" w:eastAsia="es-CO"/>
        </w:rPr>
      </w:pPr>
    </w:p>
    <w:p w:rsidR="001E27F4" w:rsidRPr="001E27F4" w:rsidRDefault="001E27F4" w:rsidP="001E27F4">
      <w:pPr>
        <w:jc w:val="center"/>
        <w:rPr>
          <w:rFonts w:ascii="Arial" w:eastAsia="Arial" w:hAnsi="Arial" w:cs="Arial"/>
          <w:color w:val="000000"/>
          <w:sz w:val="22"/>
          <w:szCs w:val="22"/>
          <w:lang w:val="es-CO" w:eastAsia="es-CO"/>
        </w:rPr>
      </w:pPr>
      <w:r w:rsidRPr="001E27F4">
        <w:rPr>
          <w:noProof/>
          <w:lang w:val="es-CO" w:eastAsia="es-CO"/>
        </w:rPr>
        <w:lastRenderedPageBreak/>
        <w:drawing>
          <wp:inline distT="0" distB="0" distL="0" distR="0" wp14:anchorId="72430174" wp14:editId="0F9BB7C7">
            <wp:extent cx="5486400" cy="4606977"/>
            <wp:effectExtent l="0" t="0" r="0" b="317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86400" cy="4606977"/>
                    </a:xfrm>
                    <a:prstGeom prst="rect">
                      <a:avLst/>
                    </a:prstGeom>
                  </pic:spPr>
                </pic:pic>
              </a:graphicData>
            </a:graphic>
          </wp:inline>
        </w:drawing>
      </w:r>
    </w:p>
    <w:p w:rsidR="001E27F4" w:rsidRPr="001E27F4" w:rsidRDefault="001E27F4" w:rsidP="001E27F4">
      <w:pPr>
        <w:jc w:val="both"/>
        <w:rPr>
          <w:rFonts w:ascii="Arial" w:eastAsia="Arial" w:hAnsi="Arial" w:cs="Arial"/>
          <w:color w:val="000000"/>
          <w:sz w:val="22"/>
          <w:szCs w:val="22"/>
          <w:lang w:val="es-CO" w:eastAsia="es-CO"/>
        </w:rPr>
      </w:pPr>
    </w:p>
    <w:p w:rsidR="001E27F4" w:rsidRPr="001E27F4" w:rsidRDefault="001E27F4" w:rsidP="001E27F4">
      <w:pPr>
        <w:jc w:val="both"/>
        <w:rPr>
          <w:rFonts w:ascii="Arial" w:eastAsia="Arial" w:hAnsi="Arial" w:cs="Arial"/>
          <w:color w:val="000000"/>
          <w:sz w:val="22"/>
          <w:szCs w:val="22"/>
          <w:lang w:val="es-CO" w:eastAsia="es-CO"/>
        </w:rPr>
      </w:pPr>
      <w:r w:rsidRPr="001E27F4">
        <w:rPr>
          <w:rFonts w:ascii="Arial" w:eastAsia="Arial" w:hAnsi="Arial" w:cs="Arial"/>
          <w:color w:val="000000"/>
          <w:sz w:val="22"/>
          <w:szCs w:val="22"/>
          <w:lang w:val="es-CO" w:eastAsia="es-CO"/>
        </w:rPr>
        <w:t>Habiéndose agotado el cobro persuasivo como se mostró en la imagen que antecede y habida cuenta de que el INSTITUTO DE DESARROLLO URBANO – IDU, no cumplió con los pagos requeridos, la entonces Subdirección Financiera de esta Autoridad dio traslado a la Secretaría de Hacienda para continuar con el cobro coactivo que permitiera asegurar los pagos adeudados.</w:t>
      </w:r>
    </w:p>
    <w:p w:rsidR="001E27F4" w:rsidRPr="001E27F4" w:rsidRDefault="001E27F4" w:rsidP="001E27F4">
      <w:pPr>
        <w:jc w:val="both"/>
        <w:rPr>
          <w:rFonts w:ascii="Arial" w:eastAsia="Arial" w:hAnsi="Arial" w:cs="Arial"/>
          <w:color w:val="000000"/>
          <w:sz w:val="22"/>
          <w:szCs w:val="22"/>
          <w:lang w:val="es-CO" w:eastAsia="es-CO"/>
        </w:rPr>
      </w:pPr>
    </w:p>
    <w:p w:rsidR="001E27F4" w:rsidRPr="001E27F4" w:rsidRDefault="001E27F4" w:rsidP="001E27F4">
      <w:pPr>
        <w:jc w:val="both"/>
        <w:rPr>
          <w:rFonts w:ascii="Arial" w:eastAsia="Arial" w:hAnsi="Arial" w:cs="Arial"/>
          <w:color w:val="000000"/>
          <w:sz w:val="22"/>
          <w:szCs w:val="22"/>
          <w:lang w:val="es-CO" w:eastAsia="es-CO"/>
        </w:rPr>
      </w:pPr>
      <w:r w:rsidRPr="001E27F4">
        <w:rPr>
          <w:rFonts w:ascii="Arial" w:eastAsia="Arial" w:hAnsi="Arial" w:cs="Arial"/>
          <w:color w:val="000000"/>
          <w:sz w:val="22"/>
          <w:szCs w:val="22"/>
          <w:lang w:val="es-CO" w:eastAsia="es-CO"/>
        </w:rPr>
        <w:t>Es así, como en la Secretaría de Hacienda se libra el mandamiento de pago mediante Resolución No. DCO-004159 de 28 de septiembre de 2018, la cual fue objeto de recurso de reposición resuelto mediante Resolución No. DCO-000165 de 04 de febrero de 2019, en la cual se resolvió no reponer.</w:t>
      </w:r>
    </w:p>
    <w:p w:rsidR="001E27F4" w:rsidRPr="001E27F4" w:rsidRDefault="001E27F4" w:rsidP="001E27F4">
      <w:pPr>
        <w:jc w:val="both"/>
        <w:rPr>
          <w:rFonts w:ascii="Arial" w:eastAsia="Arial" w:hAnsi="Arial" w:cs="Arial"/>
          <w:color w:val="000000"/>
          <w:sz w:val="22"/>
          <w:szCs w:val="22"/>
          <w:lang w:val="es-CO" w:eastAsia="es-CO"/>
        </w:rPr>
      </w:pPr>
    </w:p>
    <w:p w:rsidR="001E27F4" w:rsidRPr="001E27F4" w:rsidRDefault="001E27F4" w:rsidP="001E27F4">
      <w:pPr>
        <w:jc w:val="both"/>
        <w:rPr>
          <w:rFonts w:ascii="Arial" w:eastAsia="Arial" w:hAnsi="Arial" w:cs="Arial"/>
          <w:color w:val="000000"/>
          <w:sz w:val="22"/>
          <w:szCs w:val="22"/>
          <w:lang w:val="es-CO" w:eastAsia="es-CO"/>
        </w:rPr>
      </w:pPr>
      <w:r w:rsidRPr="001E27F4">
        <w:rPr>
          <w:rFonts w:ascii="Arial" w:eastAsia="Arial" w:hAnsi="Arial" w:cs="Arial"/>
          <w:color w:val="000000"/>
          <w:sz w:val="22"/>
          <w:szCs w:val="22"/>
          <w:lang w:val="es-CO" w:eastAsia="es-CO"/>
        </w:rPr>
        <w:t>Conforme a todo lo anterior, es claro que, sí se han ejecutado múltiples acciones por parte de esta Autoridad Ambiental como por parte de la Secretaría de Hacienda con miras a asegurar los pagos adeudados por el INSTITUTO DE DESARROLLO URBANO - IDU, por lo cual queda desvirtuada la causal del numeral 3 del artículo 66 del Decreto 01 de 1984.</w:t>
      </w:r>
    </w:p>
    <w:p w:rsidR="001E27F4" w:rsidRPr="001E27F4" w:rsidRDefault="001E27F4" w:rsidP="001E27F4">
      <w:pPr>
        <w:jc w:val="both"/>
        <w:rPr>
          <w:rFonts w:ascii="Arial" w:eastAsia="Arial" w:hAnsi="Arial" w:cs="Arial"/>
          <w:color w:val="000000"/>
          <w:sz w:val="22"/>
          <w:szCs w:val="22"/>
          <w:lang w:val="es-CO" w:eastAsia="es-CO"/>
        </w:rPr>
      </w:pPr>
    </w:p>
    <w:p w:rsidR="001E27F4" w:rsidRPr="001E27F4" w:rsidRDefault="001E27F4" w:rsidP="001E27F4">
      <w:pPr>
        <w:jc w:val="both"/>
        <w:rPr>
          <w:rFonts w:ascii="Arial" w:eastAsia="Arial" w:hAnsi="Arial" w:cs="Arial"/>
          <w:color w:val="000000"/>
          <w:sz w:val="22"/>
          <w:szCs w:val="22"/>
          <w:lang w:val="es-CO" w:eastAsia="es-CO"/>
        </w:rPr>
      </w:pPr>
      <w:r w:rsidRPr="001E27F4">
        <w:rPr>
          <w:rFonts w:ascii="Arial" w:eastAsia="Arial" w:hAnsi="Arial" w:cs="Arial"/>
          <w:color w:val="000000"/>
          <w:sz w:val="22"/>
          <w:szCs w:val="22"/>
          <w:lang w:val="es-CO" w:eastAsia="es-CO"/>
        </w:rPr>
        <w:t xml:space="preserve">Por último, frente al numeral 2.2. relacionado con el cobro de un hecho inexistente, esta Autoridad Ambiental le informa que la Resolución No. 03560 del 19 de diciembre de 2017 por la cual se exige el cumplimiento de pago, fue notificada personalmente a la señora Claudia Álvarez quien en su momento tenía la calidad de apoderada, el 12 de marzo de 2018. </w:t>
      </w:r>
    </w:p>
    <w:p w:rsidR="001E27F4" w:rsidRPr="001E27F4" w:rsidRDefault="001E27F4" w:rsidP="001E27F4">
      <w:pPr>
        <w:jc w:val="both"/>
        <w:rPr>
          <w:rFonts w:ascii="Arial" w:eastAsia="Arial" w:hAnsi="Arial" w:cs="Arial"/>
          <w:color w:val="000000"/>
          <w:sz w:val="22"/>
          <w:szCs w:val="22"/>
          <w:lang w:val="es-CO" w:eastAsia="es-CO"/>
        </w:rPr>
      </w:pPr>
    </w:p>
    <w:p w:rsidR="001E27F4" w:rsidRPr="001E27F4" w:rsidRDefault="001E27F4" w:rsidP="001E27F4">
      <w:pPr>
        <w:jc w:val="center"/>
        <w:rPr>
          <w:rFonts w:ascii="Arial" w:eastAsia="Arial" w:hAnsi="Arial" w:cs="Arial"/>
          <w:color w:val="000000"/>
          <w:sz w:val="22"/>
          <w:szCs w:val="22"/>
          <w:lang w:val="es-CO" w:eastAsia="es-CO"/>
        </w:rPr>
      </w:pPr>
      <w:r w:rsidRPr="001E27F4">
        <w:rPr>
          <w:noProof/>
          <w:lang w:val="es-CO" w:eastAsia="es-CO"/>
        </w:rPr>
        <w:drawing>
          <wp:inline distT="0" distB="0" distL="0" distR="0" wp14:anchorId="63E611DA" wp14:editId="0C47B9C1">
            <wp:extent cx="4715551" cy="4248150"/>
            <wp:effectExtent l="0" t="0" r="889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744628" cy="4274345"/>
                    </a:xfrm>
                    <a:prstGeom prst="rect">
                      <a:avLst/>
                    </a:prstGeom>
                  </pic:spPr>
                </pic:pic>
              </a:graphicData>
            </a:graphic>
          </wp:inline>
        </w:drawing>
      </w:r>
    </w:p>
    <w:p w:rsidR="001E27F4" w:rsidRPr="001E27F4" w:rsidRDefault="001E27F4" w:rsidP="001E27F4">
      <w:pPr>
        <w:jc w:val="both"/>
        <w:rPr>
          <w:rFonts w:ascii="Arial" w:eastAsia="Arial" w:hAnsi="Arial" w:cs="Arial"/>
          <w:color w:val="000000"/>
          <w:sz w:val="22"/>
          <w:szCs w:val="22"/>
          <w:lang w:val="es-CO" w:eastAsia="es-CO"/>
        </w:rPr>
      </w:pPr>
    </w:p>
    <w:p w:rsidR="001E27F4" w:rsidRDefault="001E27F4" w:rsidP="001E27F4">
      <w:pPr>
        <w:jc w:val="both"/>
        <w:rPr>
          <w:rFonts w:ascii="Arial" w:eastAsia="Arial" w:hAnsi="Arial" w:cs="Arial"/>
          <w:color w:val="000000"/>
          <w:sz w:val="22"/>
          <w:szCs w:val="22"/>
          <w:lang w:val="es-CO" w:eastAsia="es-CO"/>
        </w:rPr>
      </w:pPr>
    </w:p>
    <w:p w:rsidR="001E27F4" w:rsidRPr="001E27F4" w:rsidRDefault="001E27F4" w:rsidP="001E27F4">
      <w:pPr>
        <w:jc w:val="both"/>
        <w:rPr>
          <w:rFonts w:ascii="Arial" w:eastAsia="Arial" w:hAnsi="Arial" w:cs="Arial"/>
          <w:color w:val="000000"/>
          <w:sz w:val="22"/>
          <w:szCs w:val="22"/>
          <w:lang w:val="es-CO" w:eastAsia="es-CO"/>
        </w:rPr>
      </w:pPr>
      <w:r w:rsidRPr="001E27F4">
        <w:rPr>
          <w:rFonts w:ascii="Arial" w:eastAsia="Arial" w:hAnsi="Arial" w:cs="Arial"/>
          <w:color w:val="000000"/>
          <w:sz w:val="22"/>
          <w:szCs w:val="22"/>
          <w:lang w:val="es-CO" w:eastAsia="es-CO"/>
        </w:rPr>
        <w:t xml:space="preserve">Así las cosas, el INSTITUTO DE DESARROLLO URBANO – IDU, contaba con (5) días siguientes a la notificación para interponer recurso, conforme al Decreto 01 de 1984 – Código Contencioso Administrativo, sin que hiciera uso de su derecho a la defensa, por lo cual, la Resolución No. 03560 del 19 de diciembre de 2017 quedó ejecutoriada el 21 de marzo de 2018. Es decir, el mentado acto administrativo se encuentra en firme y goza de presunción de legalidad, por lo tanto, no son procedentes los argumentos esgrimidos. </w:t>
      </w:r>
    </w:p>
    <w:p w:rsidR="001E27F4" w:rsidRPr="001E27F4" w:rsidRDefault="001E27F4" w:rsidP="001E27F4">
      <w:pPr>
        <w:jc w:val="both"/>
        <w:rPr>
          <w:rFonts w:ascii="Arial" w:eastAsia="Arial" w:hAnsi="Arial" w:cs="Arial"/>
          <w:color w:val="000000"/>
          <w:sz w:val="22"/>
          <w:szCs w:val="22"/>
          <w:lang w:val="es-CO" w:eastAsia="es-CO"/>
        </w:rPr>
      </w:pPr>
    </w:p>
    <w:p w:rsidR="001E27F4" w:rsidRPr="001E27F4" w:rsidRDefault="001E27F4" w:rsidP="001E27F4">
      <w:pPr>
        <w:jc w:val="center"/>
        <w:rPr>
          <w:rFonts w:ascii="Arial" w:eastAsia="Arial" w:hAnsi="Arial" w:cs="Arial"/>
          <w:color w:val="000000"/>
          <w:sz w:val="22"/>
          <w:szCs w:val="22"/>
          <w:lang w:val="es-CO" w:eastAsia="es-CO"/>
        </w:rPr>
      </w:pPr>
      <w:r w:rsidRPr="001E27F4">
        <w:rPr>
          <w:noProof/>
          <w:lang w:val="es-CO" w:eastAsia="es-CO"/>
        </w:rPr>
        <w:lastRenderedPageBreak/>
        <w:drawing>
          <wp:inline distT="0" distB="0" distL="0" distR="0" wp14:anchorId="36ADE79F" wp14:editId="489B95AE">
            <wp:extent cx="3667125" cy="4676775"/>
            <wp:effectExtent l="0" t="0" r="9525" b="9525"/>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67125" cy="4676775"/>
                    </a:xfrm>
                    <a:prstGeom prst="rect">
                      <a:avLst/>
                    </a:prstGeom>
                  </pic:spPr>
                </pic:pic>
              </a:graphicData>
            </a:graphic>
          </wp:inline>
        </w:drawing>
      </w:r>
    </w:p>
    <w:p w:rsidR="001E27F4" w:rsidRPr="001E27F4" w:rsidRDefault="001E27F4" w:rsidP="001E27F4">
      <w:pPr>
        <w:jc w:val="both"/>
        <w:rPr>
          <w:rFonts w:ascii="Arial" w:eastAsia="Arial" w:hAnsi="Arial" w:cs="Arial"/>
          <w:color w:val="000000"/>
          <w:sz w:val="22"/>
          <w:szCs w:val="22"/>
          <w:lang w:val="es-CO" w:eastAsia="es-CO"/>
        </w:rPr>
      </w:pPr>
    </w:p>
    <w:p w:rsidR="001E27F4" w:rsidRPr="001E27F4" w:rsidRDefault="001E27F4" w:rsidP="001E27F4">
      <w:pPr>
        <w:ind w:right="49"/>
        <w:jc w:val="both"/>
        <w:rPr>
          <w:rFonts w:ascii="Arial" w:eastAsia="Arial" w:hAnsi="Arial" w:cs="Arial"/>
          <w:sz w:val="22"/>
          <w:szCs w:val="22"/>
          <w:lang w:val="es-CO" w:eastAsia="es-CO"/>
        </w:rPr>
      </w:pPr>
      <w:r w:rsidRPr="001E27F4">
        <w:rPr>
          <w:rFonts w:ascii="Arial" w:eastAsia="Arial" w:hAnsi="Arial" w:cs="Arial"/>
          <w:sz w:val="22"/>
          <w:szCs w:val="22"/>
          <w:lang w:val="es-CO" w:eastAsia="es-CO"/>
        </w:rPr>
        <w:t>En conclusión, frente a la primera petición de archivar cualquier acción de cobro en el marco de las obligaciones ordenadas mediante las Resoluciones N</w:t>
      </w:r>
      <w:r w:rsidRPr="001E27F4">
        <w:rPr>
          <w:lang w:val="es-CO" w:eastAsia="es-CO"/>
        </w:rPr>
        <w:t>os</w:t>
      </w:r>
      <w:r w:rsidRPr="001E27F4">
        <w:rPr>
          <w:rFonts w:ascii="Arial" w:eastAsia="Arial" w:hAnsi="Arial" w:cs="Arial"/>
          <w:sz w:val="22"/>
          <w:szCs w:val="22"/>
          <w:lang w:val="es-CO" w:eastAsia="es-CO"/>
        </w:rPr>
        <w:t xml:space="preserve">. 6118 del 2010 y 3640 de 2017, correspondiente al expediente SDA-03-2010-1299, queda claro que no es procedente teniendo en cuenta que a la fecha no se encuentran satisfechas las obligaciones pecuniarias pendientes y no se configuró la prescripción de la acción de cobro. </w:t>
      </w:r>
    </w:p>
    <w:p w:rsidR="001E27F4" w:rsidRPr="001E27F4" w:rsidRDefault="001E27F4" w:rsidP="001E27F4">
      <w:pPr>
        <w:ind w:right="49"/>
        <w:jc w:val="both"/>
        <w:rPr>
          <w:rFonts w:ascii="Arial" w:eastAsia="Arial" w:hAnsi="Arial" w:cs="Arial"/>
          <w:sz w:val="22"/>
          <w:szCs w:val="22"/>
          <w:lang w:val="es-CO" w:eastAsia="es-CO"/>
        </w:rPr>
      </w:pPr>
    </w:p>
    <w:p w:rsidR="001E27F4" w:rsidRPr="001E27F4" w:rsidRDefault="001E27F4" w:rsidP="001E27F4">
      <w:pPr>
        <w:ind w:right="49"/>
        <w:jc w:val="both"/>
        <w:rPr>
          <w:rFonts w:ascii="Arial" w:eastAsia="Arial" w:hAnsi="Arial" w:cs="Arial"/>
          <w:sz w:val="22"/>
          <w:szCs w:val="22"/>
          <w:lang w:val="es-CO" w:eastAsia="es-CO"/>
        </w:rPr>
      </w:pPr>
      <w:r w:rsidRPr="001E27F4">
        <w:rPr>
          <w:rFonts w:ascii="Arial" w:eastAsia="Arial" w:hAnsi="Arial" w:cs="Arial"/>
          <w:sz w:val="22"/>
          <w:szCs w:val="22"/>
          <w:lang w:val="es-CO" w:eastAsia="es-CO"/>
        </w:rPr>
        <w:t xml:space="preserve">Por último, frente a la petición de </w:t>
      </w:r>
      <w:r w:rsidRPr="001E27F4">
        <w:rPr>
          <w:rFonts w:ascii="Arial" w:eastAsia="Arial" w:hAnsi="Arial" w:cs="Arial"/>
          <w:i/>
          <w:sz w:val="22"/>
          <w:szCs w:val="22"/>
          <w:lang w:val="es-CO" w:eastAsia="es-CO"/>
        </w:rPr>
        <w:t>“(...) se abstenga de iniciar, suspender o culminar acción de cobro coactiva y/o judicial en el marco de las obligaciones ordenadas mediante las Resoluciones No. 6118 del 2010 y No. 3640 de 2017, correspondiente al expediente SDA03-2010-1299, que actualmente se está ejecutando por la Secretaría Distrital de Hacienda mediante el proceso coactivo No. 202109228100004675 - OGC-2018-1907”,</w:t>
      </w:r>
      <w:r w:rsidRPr="001E27F4">
        <w:rPr>
          <w:rFonts w:ascii="Arial" w:eastAsia="Arial" w:hAnsi="Arial" w:cs="Arial"/>
          <w:sz w:val="22"/>
          <w:szCs w:val="22"/>
          <w:lang w:val="es-CO" w:eastAsia="es-CO"/>
        </w:rPr>
        <w:t xml:space="preserve"> el artículo 59 del manual </w:t>
      </w:r>
      <w:r w:rsidRPr="001E27F4">
        <w:rPr>
          <w:rFonts w:ascii="Arial" w:eastAsia="Arial" w:hAnsi="Arial" w:cs="Arial"/>
          <w:bCs/>
          <w:iCs/>
          <w:sz w:val="22"/>
          <w:szCs w:val="22"/>
          <w:lang w:val="es-CO" w:eastAsia="es-CO"/>
        </w:rPr>
        <w:t>de Administración y Cobro de la Cartera No Tributaria de competencia de la Oficina de Ejecuciones Fiscales de la Dirección Distrital de Tesorería</w:t>
      </w:r>
      <w:r w:rsidRPr="001E27F4">
        <w:rPr>
          <w:rFonts w:ascii="Arial" w:eastAsia="Arial" w:hAnsi="Arial" w:cs="Arial"/>
          <w:b/>
          <w:i/>
          <w:sz w:val="22"/>
          <w:szCs w:val="22"/>
          <w:lang w:val="es-CO" w:eastAsia="es-CO"/>
        </w:rPr>
        <w:t xml:space="preserve">, </w:t>
      </w:r>
      <w:r w:rsidRPr="001E27F4">
        <w:rPr>
          <w:rFonts w:ascii="Arial" w:eastAsia="Arial" w:hAnsi="Arial" w:cs="Arial"/>
          <w:sz w:val="22"/>
          <w:szCs w:val="22"/>
          <w:lang w:val="es-CO" w:eastAsia="es-CO"/>
        </w:rPr>
        <w:t>adoptado por la Resolución SDG-585 de 30 de noviembre de 2011, establece la competencia para decretar la prescripción de conformidad con lo siguiente:</w:t>
      </w:r>
    </w:p>
    <w:p w:rsidR="001E27F4" w:rsidRPr="001E27F4" w:rsidRDefault="001E27F4" w:rsidP="001E27F4">
      <w:pPr>
        <w:ind w:right="147"/>
        <w:jc w:val="both"/>
        <w:rPr>
          <w:rFonts w:ascii="Arial" w:eastAsia="Arial" w:hAnsi="Arial" w:cs="Arial"/>
          <w:sz w:val="22"/>
          <w:szCs w:val="22"/>
          <w:lang w:val="es-CO" w:eastAsia="es-CO"/>
        </w:rPr>
      </w:pPr>
    </w:p>
    <w:p w:rsidR="001E27F4" w:rsidRPr="001E27F4" w:rsidRDefault="001E27F4" w:rsidP="001E27F4">
      <w:pPr>
        <w:shd w:val="clear" w:color="auto" w:fill="FFFFFF"/>
        <w:spacing w:after="160"/>
        <w:ind w:left="708" w:right="573"/>
        <w:jc w:val="both"/>
        <w:rPr>
          <w:rFonts w:ascii="Arial" w:eastAsia="Arial" w:hAnsi="Arial" w:cs="Arial"/>
          <w:i/>
          <w:sz w:val="22"/>
          <w:szCs w:val="22"/>
          <w:lang w:val="es-CO" w:eastAsia="es-CO"/>
        </w:rPr>
      </w:pPr>
      <w:r w:rsidRPr="001E27F4">
        <w:rPr>
          <w:rFonts w:ascii="Arial" w:eastAsia="Arial" w:hAnsi="Arial" w:cs="Arial"/>
          <w:b/>
          <w:i/>
          <w:sz w:val="22"/>
          <w:szCs w:val="22"/>
          <w:lang w:val="es-CO" w:eastAsia="es-CO"/>
        </w:rPr>
        <w:t xml:space="preserve">“ARTÍCULO 59. COMPETENCIA PARA DECRETAR LA PRESCRIPCIÓN: </w:t>
      </w:r>
      <w:r w:rsidRPr="001E27F4">
        <w:rPr>
          <w:rFonts w:ascii="Arial" w:eastAsia="Arial" w:hAnsi="Arial" w:cs="Arial"/>
          <w:i/>
          <w:sz w:val="22"/>
          <w:szCs w:val="22"/>
          <w:lang w:val="es-CO" w:eastAsia="es-CO"/>
        </w:rPr>
        <w:t xml:space="preserve">De acuerdo con el inciso 2° del artículo 817 del Estatuto Tributario Nacional, en concordancia con el artículo 17 de la Ley 1066 de 2006, la competencia para decretar la prescripción de oficio de la acción de cobro de las obligaciones diferentes a impuestos es del (la) </w:t>
      </w:r>
      <w:proofErr w:type="gramStart"/>
      <w:r w:rsidRPr="001E27F4">
        <w:rPr>
          <w:rFonts w:ascii="Arial" w:eastAsia="Arial" w:hAnsi="Arial" w:cs="Arial"/>
          <w:i/>
          <w:sz w:val="22"/>
          <w:szCs w:val="22"/>
          <w:lang w:val="es-CO" w:eastAsia="es-CO"/>
        </w:rPr>
        <w:t>Jefe</w:t>
      </w:r>
      <w:proofErr w:type="gramEnd"/>
      <w:r w:rsidRPr="001E27F4">
        <w:rPr>
          <w:rFonts w:ascii="Arial" w:eastAsia="Arial" w:hAnsi="Arial" w:cs="Arial"/>
          <w:i/>
          <w:sz w:val="22"/>
          <w:szCs w:val="22"/>
          <w:lang w:val="es-CO" w:eastAsia="es-CO"/>
        </w:rPr>
        <w:t xml:space="preserve"> de las Entidades mencionadas en el </w:t>
      </w:r>
      <w:r w:rsidRPr="001E27F4">
        <w:rPr>
          <w:rFonts w:ascii="Arial" w:eastAsia="Arial" w:hAnsi="Arial" w:cs="Arial"/>
          <w:i/>
          <w:sz w:val="22"/>
          <w:szCs w:val="22"/>
          <w:lang w:val="es-CO" w:eastAsia="es-CO"/>
        </w:rPr>
        <w:lastRenderedPageBreak/>
        <w:t>artículo 2º del presente Manual, en consideración al ámbito de aplicación del Decreto 397 de 2011.</w:t>
      </w:r>
    </w:p>
    <w:p w:rsidR="001E27F4" w:rsidRPr="001E27F4" w:rsidRDefault="001E27F4" w:rsidP="001E27F4">
      <w:pPr>
        <w:shd w:val="clear" w:color="auto" w:fill="FFFFFF"/>
        <w:spacing w:after="160"/>
        <w:ind w:left="708" w:right="573"/>
        <w:jc w:val="both"/>
        <w:rPr>
          <w:rFonts w:ascii="Arial" w:eastAsia="Arial" w:hAnsi="Arial" w:cs="Arial"/>
          <w:i/>
          <w:sz w:val="22"/>
          <w:szCs w:val="22"/>
          <w:lang w:val="es-CO" w:eastAsia="es-CO"/>
        </w:rPr>
      </w:pPr>
      <w:r w:rsidRPr="001E27F4">
        <w:rPr>
          <w:rFonts w:ascii="Arial" w:eastAsia="Arial" w:hAnsi="Arial" w:cs="Arial"/>
          <w:i/>
          <w:sz w:val="22"/>
          <w:szCs w:val="22"/>
          <w:lang w:val="es-CO" w:eastAsia="es-CO"/>
        </w:rPr>
        <w:t xml:space="preserve">La competencia para decretar la prescripción de la acción de cobro a petición de parte, es de quien adelanta el proceso de cobro coactivo, en este caso, es del (la) </w:t>
      </w:r>
      <w:proofErr w:type="gramStart"/>
      <w:r w:rsidRPr="001E27F4">
        <w:rPr>
          <w:rFonts w:ascii="Arial" w:eastAsia="Arial" w:hAnsi="Arial" w:cs="Arial"/>
          <w:i/>
          <w:sz w:val="22"/>
          <w:szCs w:val="22"/>
          <w:lang w:val="es-CO" w:eastAsia="es-CO"/>
        </w:rPr>
        <w:t>Jefe</w:t>
      </w:r>
      <w:proofErr w:type="gramEnd"/>
      <w:r w:rsidRPr="001E27F4">
        <w:rPr>
          <w:rFonts w:ascii="Arial" w:eastAsia="Arial" w:hAnsi="Arial" w:cs="Arial"/>
          <w:i/>
          <w:sz w:val="22"/>
          <w:szCs w:val="22"/>
          <w:lang w:val="es-CO" w:eastAsia="es-CO"/>
        </w:rPr>
        <w:t xml:space="preserve"> de la Oficina de Ejecuciones Fiscales de la Dirección Distrital de Tesorería.</w:t>
      </w:r>
    </w:p>
    <w:p w:rsidR="001E27F4" w:rsidRPr="001E27F4" w:rsidRDefault="001E27F4" w:rsidP="001E27F4">
      <w:pPr>
        <w:shd w:val="clear" w:color="auto" w:fill="FFFFFF"/>
        <w:spacing w:after="160"/>
        <w:ind w:left="708" w:right="573"/>
        <w:jc w:val="both"/>
        <w:rPr>
          <w:rFonts w:ascii="Arial" w:eastAsia="Arial" w:hAnsi="Arial" w:cs="Arial"/>
          <w:i/>
          <w:sz w:val="22"/>
          <w:szCs w:val="22"/>
          <w:lang w:val="es-CO" w:eastAsia="es-CO"/>
        </w:rPr>
      </w:pPr>
      <w:r w:rsidRPr="001E27F4">
        <w:rPr>
          <w:rFonts w:ascii="Arial" w:eastAsia="Arial" w:hAnsi="Arial" w:cs="Arial"/>
          <w:i/>
          <w:sz w:val="22"/>
          <w:szCs w:val="22"/>
          <w:lang w:val="es-CO" w:eastAsia="es-CO"/>
        </w:rPr>
        <w:t>(...)</w:t>
      </w:r>
    </w:p>
    <w:p w:rsidR="001E27F4" w:rsidRDefault="001E27F4" w:rsidP="001E27F4">
      <w:pPr>
        <w:shd w:val="clear" w:color="auto" w:fill="FFFFFF"/>
        <w:spacing w:after="160"/>
        <w:ind w:left="708" w:right="573"/>
        <w:jc w:val="both"/>
        <w:rPr>
          <w:rFonts w:ascii="Arial" w:eastAsia="Arial" w:hAnsi="Arial" w:cs="Arial"/>
          <w:i/>
          <w:sz w:val="22"/>
          <w:szCs w:val="22"/>
          <w:lang w:val="es-CO" w:eastAsia="es-CO"/>
        </w:rPr>
      </w:pPr>
      <w:r w:rsidRPr="001E27F4">
        <w:rPr>
          <w:rFonts w:ascii="Arial" w:eastAsia="Arial" w:hAnsi="Arial" w:cs="Arial"/>
          <w:b/>
          <w:i/>
          <w:sz w:val="22"/>
          <w:szCs w:val="22"/>
          <w:lang w:val="es-CO" w:eastAsia="es-CO"/>
        </w:rPr>
        <w:t xml:space="preserve">ARTÍCULO 2. OBJETO: </w:t>
      </w:r>
      <w:r w:rsidRPr="001E27F4">
        <w:rPr>
          <w:rFonts w:ascii="Arial" w:eastAsia="Arial" w:hAnsi="Arial" w:cs="Arial"/>
          <w:i/>
          <w:sz w:val="22"/>
          <w:szCs w:val="22"/>
          <w:lang w:val="es-CO" w:eastAsia="es-CO"/>
        </w:rPr>
        <w:t>El presente Manual tiene por objeto señalar el procedimiento que debe seguir la Oficina de Ejecuciones Fiscales de la Dirección Distrital de Tesorería, para el cobro de las obligaciones a favor de las Entidades de la Administración Central y de las Localidades”.</w:t>
      </w:r>
    </w:p>
    <w:p w:rsidR="001E27F4" w:rsidRDefault="001E27F4" w:rsidP="001E27F4">
      <w:pPr>
        <w:ind w:right="49"/>
        <w:jc w:val="both"/>
        <w:rPr>
          <w:rFonts w:ascii="Arial" w:eastAsia="Arial" w:hAnsi="Arial" w:cs="Arial"/>
          <w:sz w:val="22"/>
          <w:szCs w:val="22"/>
          <w:lang w:val="es-CO" w:eastAsia="es-CO"/>
        </w:rPr>
      </w:pPr>
    </w:p>
    <w:p w:rsidR="001E27F4" w:rsidRPr="001E27F4" w:rsidRDefault="001E27F4" w:rsidP="001E27F4">
      <w:pPr>
        <w:ind w:right="49"/>
        <w:jc w:val="both"/>
        <w:rPr>
          <w:rFonts w:ascii="Arial" w:eastAsia="Arial" w:hAnsi="Arial" w:cs="Arial"/>
          <w:sz w:val="22"/>
          <w:szCs w:val="22"/>
          <w:lang w:val="es-CO" w:eastAsia="es-CO"/>
        </w:rPr>
      </w:pPr>
      <w:r w:rsidRPr="001E27F4">
        <w:rPr>
          <w:rFonts w:ascii="Arial" w:eastAsia="Arial" w:hAnsi="Arial" w:cs="Arial"/>
          <w:sz w:val="22"/>
          <w:szCs w:val="22"/>
          <w:lang w:val="es-CO" w:eastAsia="es-CO"/>
        </w:rPr>
        <w:t xml:space="preserve">Dicho lo anterior, no es posible atender su solicitud teniendo en cuenta que esta Autoridad carece de competencia para pronunciarse sobre la petición en mención. </w:t>
      </w:r>
    </w:p>
    <w:p w:rsidR="001E27F4" w:rsidRPr="001E27F4" w:rsidRDefault="001E27F4" w:rsidP="001E27F4">
      <w:pPr>
        <w:ind w:right="49"/>
        <w:jc w:val="both"/>
        <w:rPr>
          <w:rFonts w:ascii="Arial" w:eastAsia="Arial" w:hAnsi="Arial" w:cs="Arial"/>
          <w:sz w:val="22"/>
          <w:szCs w:val="22"/>
          <w:lang w:val="es-CO" w:eastAsia="es-CO"/>
        </w:rPr>
      </w:pPr>
    </w:p>
    <w:p w:rsidR="00EB625A" w:rsidRDefault="001E27F4" w:rsidP="001E27F4">
      <w:pPr>
        <w:tabs>
          <w:tab w:val="left" w:pos="567"/>
        </w:tabs>
        <w:ind w:right="49"/>
        <w:jc w:val="both"/>
        <w:rPr>
          <w:rFonts w:ascii="Arial" w:eastAsia="Arial" w:hAnsi="Arial" w:cs="Arial"/>
          <w:color w:val="0000FF"/>
          <w:sz w:val="22"/>
          <w:szCs w:val="22"/>
          <w:u w:val="single"/>
          <w:lang w:val="es-CO" w:eastAsia="es-CO"/>
        </w:rPr>
      </w:pPr>
      <w:r w:rsidRPr="001E27F4">
        <w:rPr>
          <w:rFonts w:ascii="Arial" w:eastAsia="Arial" w:hAnsi="Arial" w:cs="Arial"/>
          <w:color w:val="000000"/>
          <w:sz w:val="22"/>
          <w:szCs w:val="22"/>
          <w:lang w:val="es-CO" w:eastAsia="es-CO"/>
        </w:rPr>
        <w:t xml:space="preserve">En el evento que requiera información adicional estaremos prontos a proporcionarla, puede allegarla a la ventanilla de atención al ciudadano de la sede de la entidad, ubicada en la Avenida Caracas No. 54 - 38 Teléfono 3778899 o a través del enlace: </w:t>
      </w:r>
      <w:hyperlink r:id="rId15">
        <w:r w:rsidRPr="001E27F4">
          <w:rPr>
            <w:rFonts w:ascii="Arial" w:eastAsia="Arial" w:hAnsi="Arial" w:cs="Arial"/>
            <w:color w:val="0000FF"/>
            <w:sz w:val="22"/>
            <w:szCs w:val="22"/>
            <w:u w:val="single"/>
            <w:lang w:val="es-CO" w:eastAsia="es-CO"/>
          </w:rPr>
          <w:t>http://www.secretariadeambiente.gov.co/ventanillavirtual/app</w:t>
        </w:r>
      </w:hyperlink>
    </w:p>
    <w:p w:rsidR="001E27F4" w:rsidRDefault="001E27F4" w:rsidP="001E27F4">
      <w:pPr>
        <w:tabs>
          <w:tab w:val="left" w:pos="567"/>
        </w:tabs>
        <w:rPr>
          <w:rFonts w:ascii="Arial" w:eastAsia="Arial" w:hAnsi="Arial" w:cs="Arial"/>
          <w:color w:val="0000FF"/>
          <w:sz w:val="22"/>
          <w:szCs w:val="22"/>
          <w:u w:val="single"/>
          <w:lang w:val="es-CO" w:eastAsia="es-CO"/>
        </w:rPr>
      </w:pPr>
    </w:p>
    <w:p w:rsidR="001E27F4" w:rsidRDefault="001E27F4" w:rsidP="001E27F4">
      <w:pPr>
        <w:tabs>
          <w:tab w:val="left" w:pos="567"/>
        </w:tabs>
        <w:rPr>
          <w:rFonts w:ascii="Arial" w:eastAsia="Arial" w:hAnsi="Arial" w:cs="Arial"/>
          <w:color w:val="0000FF"/>
          <w:sz w:val="22"/>
          <w:szCs w:val="22"/>
          <w:u w:val="single"/>
          <w:lang w:val="es-CO" w:eastAsia="es-CO"/>
        </w:rPr>
      </w:pPr>
    </w:p>
    <w:p w:rsidR="001E27F4" w:rsidRPr="00610EA5" w:rsidRDefault="001E27F4" w:rsidP="001E27F4">
      <w:pPr>
        <w:tabs>
          <w:tab w:val="left" w:pos="567"/>
        </w:tabs>
        <w:rPr>
          <w:rFonts w:ascii="Arial" w:hAnsi="Arial" w:cs="Arial"/>
          <w:sz w:val="22"/>
          <w:szCs w:val="22"/>
        </w:rPr>
        <w:sectPr w:rsidR="001E27F4" w:rsidRPr="00610EA5" w:rsidSect="00D63979">
          <w:type w:val="continuous"/>
          <w:pgSz w:w="12240" w:h="15840" w:code="1"/>
          <w:pgMar w:top="1417" w:right="1701" w:bottom="1417" w:left="1701" w:header="709" w:footer="958" w:gutter="0"/>
          <w:cols w:space="708"/>
          <w:formProt w:val="0"/>
          <w:docGrid w:linePitch="360"/>
        </w:sectPr>
      </w:pPr>
    </w:p>
    <w:p w:rsidR="00EB625A" w:rsidRPr="00610EA5" w:rsidRDefault="00495414" w:rsidP="00C801FA">
      <w:pPr>
        <w:jc w:val="center"/>
        <w:rPr>
          <w:rFonts w:ascii="Arial" w:hAnsi="Arial" w:cs="Arial"/>
          <w:sz w:val="22"/>
          <w:szCs w:val="22"/>
          <w:lang w:val="es-ES"/>
        </w:rPr>
      </w:pPr>
      <w:bookmarkStart w:id="3" w:name="word_firma"/>
      <w:r w:rsidRPr="00610EA5">
        <w:rPr>
          <w:rFonts w:ascii="Arial" w:hAnsi="Arial" w:cs="Arial"/>
          <w:sz w:val="22"/>
          <w:szCs w:val="22"/>
          <w:lang w:val="es-ES"/>
        </w:rPr>
        <w:t>firmas</w:t>
      </w:r>
      <w:bookmarkEnd w:id="3"/>
    </w:p>
    <w:p w:rsidR="00EB625A" w:rsidRDefault="00495414" w:rsidP="0012752B">
      <w:pPr>
        <w:rPr>
          <w:rFonts w:ascii="Arial" w:hAnsi="Arial" w:cs="Arial"/>
          <w:sz w:val="22"/>
          <w:szCs w:val="22"/>
          <w:lang w:val="es-ES"/>
        </w:rPr>
      </w:pPr>
    </w:p>
    <w:p w:rsidR="00EB625A" w:rsidRPr="00610EA5" w:rsidRDefault="00495414" w:rsidP="0012752B">
      <w:pPr>
        <w:rPr>
          <w:rFonts w:ascii="Arial" w:hAnsi="Arial" w:cs="Arial"/>
          <w:sz w:val="22"/>
          <w:szCs w:val="22"/>
          <w:lang w:val="es-ES"/>
        </w:rPr>
      </w:pPr>
    </w:p>
    <w:p w:rsidR="00EB625A" w:rsidRPr="00610EA5" w:rsidRDefault="00495414" w:rsidP="0012752B">
      <w:pPr>
        <w:rPr>
          <w:rFonts w:ascii="Arial" w:hAnsi="Arial" w:cs="Arial"/>
          <w:sz w:val="22"/>
          <w:szCs w:val="22"/>
          <w:lang w:val="es-ES"/>
        </w:rPr>
        <w:sectPr w:rsidR="00EB625A" w:rsidRPr="00610EA5" w:rsidSect="00C2169C">
          <w:type w:val="continuous"/>
          <w:pgSz w:w="12240" w:h="15840" w:code="1"/>
          <w:pgMar w:top="2835" w:right="363" w:bottom="2268" w:left="357" w:header="709" w:footer="958" w:gutter="0"/>
          <w:cols w:space="708"/>
          <w:docGrid w:linePitch="360"/>
        </w:sectPr>
      </w:pPr>
    </w:p>
    <w:p w:rsidR="00EB625A" w:rsidRPr="00610EA5" w:rsidRDefault="00495414" w:rsidP="0012752B">
      <w:pPr>
        <w:rPr>
          <w:rFonts w:ascii="Arial" w:hAnsi="Arial" w:cs="Arial"/>
          <w:i/>
          <w:sz w:val="16"/>
          <w:szCs w:val="16"/>
        </w:rPr>
      </w:pPr>
    </w:p>
    <w:p w:rsidR="00EB625A" w:rsidRDefault="00495414" w:rsidP="0012752B">
      <w:pPr>
        <w:rPr>
          <w:rFonts w:ascii="Arial" w:hAnsi="Arial" w:cs="Arial"/>
          <w:i/>
          <w:sz w:val="16"/>
          <w:szCs w:val="16"/>
        </w:rPr>
      </w:pPr>
    </w:p>
    <w:p w:rsidR="00EB625A" w:rsidRPr="00610EA5" w:rsidRDefault="00495414" w:rsidP="0012752B">
      <w:pPr>
        <w:rPr>
          <w:rFonts w:ascii="Arial" w:hAnsi="Arial" w:cs="Arial"/>
          <w:i/>
          <w:sz w:val="16"/>
          <w:szCs w:val="16"/>
        </w:rPr>
        <w:sectPr w:rsidR="00EB625A" w:rsidRPr="00610EA5" w:rsidSect="00C2169C">
          <w:type w:val="continuous"/>
          <w:pgSz w:w="12240" w:h="15840" w:code="1"/>
          <w:pgMar w:top="2835" w:right="363" w:bottom="2268" w:left="357" w:header="709" w:footer="958" w:gutter="0"/>
          <w:cols w:space="708"/>
          <w:formProt w:val="0"/>
          <w:docGrid w:linePitch="360"/>
        </w:sectPr>
      </w:pPr>
    </w:p>
    <w:p w:rsidR="00EB625A" w:rsidRDefault="00495414" w:rsidP="0012752B">
      <w:pPr>
        <w:rPr>
          <w:rFonts w:ascii="Arial" w:hAnsi="Arial" w:cs="Arial"/>
          <w:i/>
          <w:sz w:val="16"/>
          <w:szCs w:val="16"/>
        </w:rPr>
      </w:pPr>
    </w:p>
    <w:p w:rsidR="00EB625A" w:rsidRPr="00610EA5" w:rsidRDefault="00495414" w:rsidP="0012752B">
      <w:pPr>
        <w:rPr>
          <w:rFonts w:ascii="Arial" w:hAnsi="Arial" w:cs="Arial"/>
          <w:i/>
          <w:sz w:val="16"/>
          <w:szCs w:val="16"/>
        </w:rPr>
      </w:pPr>
      <w:bookmarkStart w:id="4" w:name="word_traza"/>
      <w:r w:rsidRPr="00610EA5">
        <w:rPr>
          <w:rFonts w:ascii="Arial" w:hAnsi="Arial" w:cs="Arial"/>
          <w:i/>
          <w:sz w:val="16"/>
          <w:szCs w:val="16"/>
        </w:rPr>
        <w:t>Traza</w:t>
      </w:r>
      <w:bookmarkEnd w:id="4"/>
    </w:p>
    <w:p w:rsidR="00EB625A" w:rsidRPr="00610EA5" w:rsidRDefault="00495414" w:rsidP="009C066B">
      <w:pPr>
        <w:rPr>
          <w:rFonts w:ascii="Arial" w:hAnsi="Arial" w:cs="Arial"/>
          <w:i/>
          <w:sz w:val="22"/>
          <w:szCs w:val="22"/>
        </w:rPr>
      </w:pPr>
    </w:p>
    <w:sectPr w:rsidR="00EB625A" w:rsidRPr="00610EA5" w:rsidSect="00C2169C">
      <w:type w:val="continuous"/>
      <w:pgSz w:w="12240" w:h="15840" w:code="1"/>
      <w:pgMar w:top="2835" w:right="397" w:bottom="2268" w:left="397" w:header="709" w:footer="9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495414" w:rsidRDefault="00495414">
      <w:r>
        <w:separator/>
      </w:r>
    </w:p>
  </w:endnote>
  <w:endnote w:type="continuationSeparator" w:id="0">
    <w:p w:rsidR="00495414" w:rsidRDefault="00495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B625A" w:rsidRPr="00EC6528" w:rsidRDefault="00495414" w:rsidP="00963CE9">
    <w:pPr>
      <w:pStyle w:val="Piedepgina"/>
      <w:jc w:val="center"/>
      <w:rPr>
        <w:lang w:val="es-CO"/>
      </w:rPr>
    </w:pPr>
    <w:bookmarkStart w:id="1" w:name="word_fin"/>
    <w:r>
      <w:rPr>
        <w:lang w:val="es-CO"/>
      </w:rPr>
      <w:t>word_fin</w:t>
    </w:r>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495414" w:rsidRDefault="00495414">
      <w:r>
        <w:separator/>
      </w:r>
    </w:p>
  </w:footnote>
  <w:footnote w:type="continuationSeparator" w:id="0">
    <w:p w:rsidR="00495414" w:rsidRDefault="004954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B625A" w:rsidRPr="00D47A87" w:rsidRDefault="00495414" w:rsidP="0012752B">
    <w:pPr>
      <w:pStyle w:val="Encabezado"/>
      <w:jc w:val="center"/>
      <w:rPr>
        <w:lang w:val="es-CO"/>
      </w:rPr>
    </w:pPr>
    <w:bookmarkStart w:id="0" w:name="word_ini"/>
    <w:r w:rsidRPr="000660B7">
      <w:rPr>
        <w:color w:val="FFFFFF" w:themeColor="background1"/>
        <w:lang w:val="es-CO"/>
      </w:rPr>
      <w:t>word_ini</w:t>
    </w:r>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1Q7CESlCnQMmQnzAazTbNO24fWyqa9jAJzcU/d+6y+2TwStKuNkI6R70Jg+dmsYLIeG6ef4JL2fKe+I1pdlWgQ==" w:salt="FsObloH3Q8aunA+vmsrAUg=="/>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7F4"/>
    <w:rsid w:val="001E27F4"/>
    <w:rsid w:val="00495414"/>
    <w:rsid w:val="006312CB"/>
    <w:rsid w:val="00A83C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BD4EB3"/>
  <w15:docId w15:val="{5126C16F-D827-4610-A5AD-7E2BF7239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600B"/>
    <w:rPr>
      <w:sz w:val="24"/>
      <w:szCs w:val="24"/>
      <w:lang w:val="es-ES_tradnl"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character" w:customStyle="1" w:styleId="PiedepginaCar">
    <w:name w:val="Pie de página Car"/>
    <w:basedOn w:val="Fuentedeprrafopredeter"/>
    <w:link w:val="Piedepgina"/>
    <w:uiPriority w:val="99"/>
    <w:rsid w:val="00BA725E"/>
    <w:rPr>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hyperlink" Target="http://www.secretariadeambiente.gov.co/ventanillavirtual/app" TargetMode="Externa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mailto:eduardo@almaster.com.co" TargetMode="External"/><Relationship Id="rId14"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077222AE-65D5-4751-86FA-CD1191D9BE4F}">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1761</Words>
  <Characters>9686</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11425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Diana Yadira Garcia Rozo</cp:lastModifiedBy>
  <cp:revision>3</cp:revision>
  <cp:lastPrinted>2010-08-21T17:53:00Z</cp:lastPrinted>
  <dcterms:created xsi:type="dcterms:W3CDTF">2025-11-06T00:43:00Z</dcterms:created>
  <dcterms:modified xsi:type="dcterms:W3CDTF">2025-11-06T00:44:00Z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1743433598751</vt:lpwstr>
  </property>
</Properties>
</file>